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513BA">
      <w:pPr>
        <w:rPr>
          <w:rFonts w:ascii="Times New Roman" w:hAnsi="Times New Roman" w:eastAsia="宋体" w:cs="Times New Roman"/>
          <w:color w:val="auto"/>
          <w:highlight w:val="none"/>
        </w:rPr>
      </w:pPr>
      <w:bookmarkStart w:id="15" w:name="_GoBack"/>
    </w:p>
    <w:p w14:paraId="2D1CD733">
      <w:pPr>
        <w:keepNext w:val="0"/>
        <w:widowControl w:val="0"/>
        <w:adjustRightInd w:val="0"/>
        <w:snapToGrid w:val="0"/>
        <w:spacing w:before="156" w:beforeLines="50" w:line="360" w:lineRule="auto"/>
        <w:jc w:val="center"/>
        <w:outlineLvl w:val="0"/>
        <w:rPr>
          <w:rFonts w:ascii="黑体" w:hAnsi="华文中宋" w:eastAsia="黑体" w:cs="Times New Roman"/>
          <w:b/>
          <w:bCs/>
          <w:color w:val="auto"/>
          <w:kern w:val="2"/>
          <w:sz w:val="32"/>
          <w:szCs w:val="32"/>
          <w:highlight w:val="none"/>
          <w:lang w:val="en-US" w:eastAsia="zh-CN" w:bidi="ar-SA"/>
        </w:rPr>
      </w:pPr>
      <w:bookmarkStart w:id="0" w:name="_Toc256000037"/>
      <w:r>
        <w:rPr>
          <w:rFonts w:hint="eastAsia" w:ascii="黑体" w:hAnsi="华文中宋" w:eastAsia="黑体" w:cs="Times New Roman"/>
          <w:b/>
          <w:bCs/>
          <w:color w:val="auto"/>
          <w:kern w:val="2"/>
          <w:sz w:val="32"/>
          <w:szCs w:val="32"/>
          <w:highlight w:val="none"/>
          <w:lang w:val="en-US" w:eastAsia="zh-CN" w:bidi="ar-SA"/>
        </w:rPr>
        <w:t>第五章 采购需求</w:t>
      </w:r>
      <w:bookmarkEnd w:id="0"/>
    </w:p>
    <w:p w14:paraId="4685953F">
      <w:pPr>
        <w:rPr>
          <w:rFonts w:hint="eastAsia" w:ascii="Times New Roman" w:hAnsi="Times New Roman" w:eastAsia="宋体" w:cs="Times New Roman"/>
          <w:color w:val="auto"/>
          <w:highlight w:val="none"/>
        </w:rPr>
      </w:pPr>
    </w:p>
    <w:p w14:paraId="1E51849C">
      <w:pPr>
        <w:pStyle w:val="6"/>
        <w:keepNext/>
        <w:keepLines/>
        <w:widowControl w:val="0"/>
        <w:adjustRightInd w:val="0"/>
        <w:snapToGrid w:val="0"/>
        <w:spacing w:before="156" w:beforeLines="50" w:line="360" w:lineRule="auto"/>
        <w:jc w:val="center"/>
        <w:outlineLvl w:val="1"/>
        <w:rPr>
          <w:rStyle w:val="5"/>
          <w:rFonts w:ascii="黑体" w:hAnsi="黑体" w:eastAsia="黑体" w:cs="Times New Roman"/>
          <w:b/>
          <w:bCs/>
          <w:color w:val="auto"/>
          <w:kern w:val="2"/>
          <w:sz w:val="52"/>
          <w:szCs w:val="52"/>
          <w:highlight w:val="none"/>
          <w:lang w:val="en-US" w:eastAsia="zh-CN" w:bidi="ar-SA"/>
        </w:rPr>
      </w:pPr>
      <w:bookmarkStart w:id="1" w:name="_Toc256000038"/>
      <w:bookmarkStart w:id="2" w:name="_Toc29913942"/>
      <w:r>
        <w:rPr>
          <w:rStyle w:val="5"/>
          <w:rFonts w:hint="eastAsia" w:ascii="黑体" w:hAnsi="黑体" w:eastAsia="黑体" w:cs="Times New Roman"/>
          <w:b/>
          <w:bCs/>
          <w:color w:val="auto"/>
          <w:kern w:val="2"/>
          <w:sz w:val="28"/>
          <w:szCs w:val="28"/>
          <w:highlight w:val="none"/>
          <w:lang w:val="en-US" w:eastAsia="zh-CN" w:bidi="ar-SA"/>
        </w:rPr>
        <w:t>第一节 采购清单一览表</w:t>
      </w:r>
      <w:bookmarkEnd w:id="1"/>
      <w:bookmarkEnd w:id="2"/>
    </w:p>
    <w:tbl>
      <w:tblPr>
        <w:tblStyle w:val="4"/>
        <w:tblW w:w="8777" w:type="dxa"/>
        <w:jc w:val="center"/>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577"/>
        <w:gridCol w:w="830"/>
        <w:gridCol w:w="1581"/>
        <w:gridCol w:w="803"/>
        <w:gridCol w:w="1436"/>
        <w:gridCol w:w="1235"/>
        <w:gridCol w:w="1398"/>
        <w:gridCol w:w="917"/>
      </w:tblGrid>
      <w:tr w14:paraId="454B52B8">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1051" w:hRule="atLeast"/>
          <w:jc w:val="center"/>
        </w:trPr>
        <w:tc>
          <w:tcPr>
            <w:tcW w:w="577" w:type="dxa"/>
            <w:noWrap w:val="0"/>
            <w:vAlign w:val="center"/>
          </w:tcPr>
          <w:p w14:paraId="3419C518">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序号</w:t>
            </w:r>
          </w:p>
        </w:tc>
        <w:tc>
          <w:tcPr>
            <w:tcW w:w="830" w:type="dxa"/>
            <w:noWrap w:val="0"/>
            <w:vAlign w:val="center"/>
          </w:tcPr>
          <w:p w14:paraId="4C182A6C">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包名/包名称</w:t>
            </w:r>
          </w:p>
        </w:tc>
        <w:tc>
          <w:tcPr>
            <w:tcW w:w="1581" w:type="dxa"/>
            <w:noWrap w:val="0"/>
            <w:vAlign w:val="center"/>
          </w:tcPr>
          <w:p w14:paraId="2E298332">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标的物名称</w:t>
            </w:r>
          </w:p>
        </w:tc>
        <w:tc>
          <w:tcPr>
            <w:tcW w:w="803" w:type="dxa"/>
            <w:noWrap w:val="0"/>
            <w:vAlign w:val="center"/>
          </w:tcPr>
          <w:p w14:paraId="5EED89FA">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数量</w:t>
            </w:r>
          </w:p>
        </w:tc>
        <w:tc>
          <w:tcPr>
            <w:tcW w:w="1436" w:type="dxa"/>
            <w:noWrap w:val="0"/>
            <w:vAlign w:val="center"/>
          </w:tcPr>
          <w:p w14:paraId="09B3377A">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简要技术要求</w:t>
            </w:r>
          </w:p>
        </w:tc>
        <w:tc>
          <w:tcPr>
            <w:tcW w:w="1235" w:type="dxa"/>
            <w:noWrap w:val="0"/>
            <w:vAlign w:val="center"/>
          </w:tcPr>
          <w:p w14:paraId="3CF5C0F5">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采购预算</w:t>
            </w:r>
          </w:p>
        </w:tc>
        <w:tc>
          <w:tcPr>
            <w:tcW w:w="1398" w:type="dxa"/>
            <w:noWrap w:val="0"/>
            <w:vAlign w:val="center"/>
          </w:tcPr>
          <w:p w14:paraId="0C4AA582">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最高限价</w:t>
            </w:r>
          </w:p>
        </w:tc>
        <w:tc>
          <w:tcPr>
            <w:tcW w:w="917" w:type="dxa"/>
            <w:noWrap w:val="0"/>
            <w:vAlign w:val="center"/>
          </w:tcPr>
          <w:p w14:paraId="4E5E85C2">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是否允许进口</w:t>
            </w:r>
          </w:p>
        </w:tc>
      </w:tr>
      <w:tr w14:paraId="4BF08C49">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34" w:hRule="atLeast"/>
          <w:jc w:val="center"/>
        </w:trPr>
        <w:tc>
          <w:tcPr>
            <w:tcW w:w="577" w:type="dxa"/>
            <w:tcBorders>
              <w:top w:val="single" w:color="auto" w:sz="4" w:space="0"/>
              <w:bottom w:val="single" w:color="auto" w:sz="4" w:space="0"/>
            </w:tcBorders>
            <w:noWrap w:val="0"/>
            <w:vAlign w:val="center"/>
          </w:tcPr>
          <w:p w14:paraId="624A81E3">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1</w:t>
            </w:r>
          </w:p>
        </w:tc>
        <w:tc>
          <w:tcPr>
            <w:tcW w:w="830" w:type="dxa"/>
            <w:tcBorders>
              <w:top w:val="single" w:color="auto" w:sz="4" w:space="0"/>
              <w:bottom w:val="single" w:color="auto" w:sz="4" w:space="0"/>
            </w:tcBorders>
            <w:noWrap w:val="0"/>
            <w:vAlign w:val="center"/>
          </w:tcPr>
          <w:p w14:paraId="7D12F2FA">
            <w:pPr>
              <w:pStyle w:val="6"/>
              <w:spacing w:line="300" w:lineRule="exact"/>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 xml:space="preserve">包1 </w:t>
            </w:r>
          </w:p>
        </w:tc>
        <w:tc>
          <w:tcPr>
            <w:tcW w:w="1581" w:type="dxa"/>
            <w:tcBorders>
              <w:top w:val="single" w:color="auto" w:sz="4" w:space="0"/>
              <w:bottom w:val="single" w:color="auto" w:sz="4" w:space="0"/>
            </w:tcBorders>
            <w:noWrap w:val="0"/>
            <w:vAlign w:val="center"/>
          </w:tcPr>
          <w:p w14:paraId="3AD60A17">
            <w:pPr>
              <w:pStyle w:val="6"/>
              <w:spacing w:line="300" w:lineRule="exact"/>
              <w:jc w:val="center"/>
              <w:rPr>
                <w:rStyle w:val="5"/>
                <w:rFonts w:hint="eastAsia" w:ascii="宋体" w:hAnsi="宋体" w:eastAsia="宋体" w:cs="宋体"/>
                <w:color w:val="auto"/>
                <w:sz w:val="21"/>
                <w:szCs w:val="21"/>
                <w:highlight w:val="none"/>
                <w:u w:val="none"/>
                <w:lang w:eastAsia="zh-CN"/>
              </w:rPr>
            </w:pPr>
            <w:r>
              <w:rPr>
                <w:rStyle w:val="5"/>
                <w:rFonts w:hint="eastAsia" w:ascii="宋体" w:hAnsi="宋体" w:eastAsia="宋体" w:cs="宋体"/>
                <w:color w:val="auto"/>
                <w:sz w:val="21"/>
                <w:szCs w:val="21"/>
                <w:highlight w:val="none"/>
                <w:u w:val="none"/>
                <w:lang w:val="en-US" w:eastAsia="zh-CN"/>
              </w:rPr>
              <w:t>台</w:t>
            </w:r>
            <w:r>
              <w:rPr>
                <w:rStyle w:val="5"/>
                <w:rFonts w:hint="eastAsia" w:ascii="宋体" w:hAnsi="宋体" w:eastAsia="宋体" w:cs="宋体"/>
                <w:color w:val="auto"/>
                <w:sz w:val="21"/>
                <w:szCs w:val="21"/>
                <w:highlight w:val="none"/>
                <w:u w:val="none"/>
                <w:lang w:eastAsia="zh-CN"/>
              </w:rPr>
              <w:t>式近红外脑功能成像系统</w:t>
            </w:r>
          </w:p>
        </w:tc>
        <w:tc>
          <w:tcPr>
            <w:tcW w:w="803" w:type="dxa"/>
            <w:tcBorders>
              <w:top w:val="single" w:color="auto" w:sz="4" w:space="0"/>
              <w:bottom w:val="single" w:color="auto" w:sz="4" w:space="0"/>
            </w:tcBorders>
            <w:noWrap w:val="0"/>
            <w:vAlign w:val="center"/>
          </w:tcPr>
          <w:p w14:paraId="09CC2AB6">
            <w:pPr>
              <w:pStyle w:val="6"/>
              <w:widowControl/>
              <w:adjustRightInd w:val="0"/>
              <w:snapToGrid w:val="0"/>
              <w:spacing w:line="360" w:lineRule="auto"/>
              <w:jc w:val="center"/>
              <w:rPr>
                <w:rStyle w:val="5"/>
                <w:rFonts w:hint="default"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1套</w:t>
            </w:r>
          </w:p>
        </w:tc>
        <w:tc>
          <w:tcPr>
            <w:tcW w:w="1436" w:type="dxa"/>
            <w:tcBorders>
              <w:top w:val="single" w:color="auto" w:sz="4" w:space="0"/>
              <w:bottom w:val="single" w:color="auto" w:sz="4" w:space="0"/>
            </w:tcBorders>
            <w:noWrap w:val="0"/>
            <w:vAlign w:val="center"/>
          </w:tcPr>
          <w:p w14:paraId="0629F97A">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详见技术要求</w:t>
            </w:r>
          </w:p>
        </w:tc>
        <w:tc>
          <w:tcPr>
            <w:tcW w:w="1235" w:type="dxa"/>
            <w:tcBorders>
              <w:top w:val="single" w:color="auto" w:sz="4" w:space="0"/>
              <w:bottom w:val="single" w:color="auto" w:sz="4" w:space="0"/>
            </w:tcBorders>
            <w:noWrap w:val="0"/>
            <w:vAlign w:val="center"/>
          </w:tcPr>
          <w:p w14:paraId="70C82778">
            <w:pPr>
              <w:pStyle w:val="6"/>
              <w:spacing w:line="300" w:lineRule="exact"/>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 xml:space="preserve">3300000.00 </w:t>
            </w:r>
            <w:r>
              <w:rPr>
                <w:rStyle w:val="5"/>
                <w:rFonts w:hint="eastAsia" w:ascii="宋体" w:hAnsi="宋体" w:eastAsia="宋体" w:cs="宋体"/>
                <w:color w:val="auto"/>
                <w:sz w:val="21"/>
                <w:szCs w:val="21"/>
                <w:highlight w:val="none"/>
                <w:u w:val="none"/>
              </w:rPr>
              <w:t>元</w:t>
            </w:r>
          </w:p>
        </w:tc>
        <w:tc>
          <w:tcPr>
            <w:tcW w:w="1398" w:type="dxa"/>
            <w:tcBorders>
              <w:top w:val="single" w:color="auto" w:sz="4" w:space="0"/>
              <w:bottom w:val="single" w:color="auto" w:sz="4" w:space="0"/>
            </w:tcBorders>
            <w:noWrap w:val="0"/>
            <w:vAlign w:val="center"/>
          </w:tcPr>
          <w:p w14:paraId="30B6D1D8">
            <w:pPr>
              <w:pStyle w:val="6"/>
              <w:spacing w:line="300" w:lineRule="exact"/>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lang w:val="en-US" w:eastAsia="zh-CN"/>
              </w:rPr>
              <w:t>30</w:t>
            </w:r>
            <w:r>
              <w:rPr>
                <w:rStyle w:val="5"/>
                <w:rFonts w:hint="eastAsia" w:ascii="宋体" w:hAnsi="宋体" w:eastAsia="宋体" w:cs="宋体"/>
                <w:color w:val="auto"/>
                <w:sz w:val="21"/>
                <w:szCs w:val="21"/>
                <w:highlight w:val="none"/>
                <w:u w:val="none"/>
                <w:lang w:eastAsia="zh-CN"/>
              </w:rPr>
              <w:t>00000.00</w:t>
            </w:r>
            <w:r>
              <w:rPr>
                <w:rStyle w:val="5"/>
                <w:rFonts w:hint="eastAsia" w:ascii="宋体" w:hAnsi="宋体" w:eastAsia="宋体" w:cs="宋体"/>
                <w:color w:val="auto"/>
                <w:sz w:val="21"/>
                <w:szCs w:val="21"/>
                <w:highlight w:val="none"/>
                <w:u w:val="none"/>
              </w:rPr>
              <w:t xml:space="preserve"> 元</w:t>
            </w:r>
          </w:p>
        </w:tc>
        <w:tc>
          <w:tcPr>
            <w:tcW w:w="917" w:type="dxa"/>
            <w:tcBorders>
              <w:top w:val="single" w:color="auto" w:sz="4" w:space="0"/>
              <w:bottom w:val="single" w:color="auto" w:sz="4" w:space="0"/>
            </w:tcBorders>
            <w:noWrap w:val="0"/>
            <w:vAlign w:val="center"/>
          </w:tcPr>
          <w:p w14:paraId="5EA5568C">
            <w:pPr>
              <w:pStyle w:val="6"/>
              <w:spacing w:line="300" w:lineRule="exact"/>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允许</w:t>
            </w:r>
          </w:p>
        </w:tc>
      </w:tr>
      <w:tr w14:paraId="7F715878">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24" w:hRule="atLeast"/>
          <w:jc w:val="center"/>
        </w:trPr>
        <w:tc>
          <w:tcPr>
            <w:tcW w:w="577" w:type="dxa"/>
            <w:tcBorders>
              <w:top w:val="single" w:color="auto" w:sz="4" w:space="0"/>
              <w:bottom w:val="single" w:color="auto" w:sz="4" w:space="0"/>
            </w:tcBorders>
            <w:noWrap w:val="0"/>
            <w:vAlign w:val="center"/>
          </w:tcPr>
          <w:p w14:paraId="419EBD81">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2</w:t>
            </w:r>
          </w:p>
        </w:tc>
        <w:tc>
          <w:tcPr>
            <w:tcW w:w="830" w:type="dxa"/>
            <w:tcBorders>
              <w:top w:val="single" w:color="auto" w:sz="4" w:space="0"/>
              <w:bottom w:val="single" w:color="auto" w:sz="4" w:space="0"/>
            </w:tcBorders>
            <w:noWrap w:val="0"/>
            <w:vAlign w:val="center"/>
          </w:tcPr>
          <w:p w14:paraId="5ABA4AEE">
            <w:pPr>
              <w:pStyle w:val="6"/>
              <w:spacing w:line="300" w:lineRule="exact"/>
              <w:jc w:val="center"/>
              <w:rPr>
                <w:rStyle w:val="5"/>
                <w:rFonts w:hint="eastAsia" w:ascii="宋体" w:hAnsi="宋体" w:eastAsia="宋体" w:cs="宋体"/>
                <w:color w:val="auto"/>
                <w:sz w:val="21"/>
                <w:szCs w:val="21"/>
                <w:highlight w:val="none"/>
                <w:u w:val="none"/>
                <w:lang w:eastAsia="zh-CN"/>
              </w:rPr>
            </w:pPr>
            <w:r>
              <w:rPr>
                <w:rStyle w:val="5"/>
                <w:rFonts w:hint="eastAsia" w:ascii="宋体" w:hAnsi="宋体" w:eastAsia="宋体" w:cs="宋体"/>
                <w:color w:val="auto"/>
                <w:sz w:val="21"/>
                <w:szCs w:val="21"/>
                <w:highlight w:val="none"/>
                <w:u w:val="none"/>
              </w:rPr>
              <w:t>包</w:t>
            </w:r>
            <w:r>
              <w:rPr>
                <w:rStyle w:val="5"/>
                <w:rFonts w:hint="eastAsia" w:ascii="宋体" w:hAnsi="宋体" w:eastAsia="宋体" w:cs="宋体"/>
                <w:color w:val="auto"/>
                <w:sz w:val="21"/>
                <w:szCs w:val="21"/>
                <w:highlight w:val="none"/>
                <w:u w:val="none"/>
                <w:lang w:val="en-US" w:eastAsia="zh-CN"/>
              </w:rPr>
              <w:t>2</w:t>
            </w:r>
          </w:p>
        </w:tc>
        <w:tc>
          <w:tcPr>
            <w:tcW w:w="1581" w:type="dxa"/>
            <w:tcBorders>
              <w:top w:val="single" w:color="auto" w:sz="4" w:space="0"/>
              <w:bottom w:val="single" w:color="auto" w:sz="4" w:space="0"/>
            </w:tcBorders>
            <w:noWrap w:val="0"/>
            <w:vAlign w:val="center"/>
          </w:tcPr>
          <w:p w14:paraId="41B476F5">
            <w:pPr>
              <w:pStyle w:val="6"/>
              <w:spacing w:line="300" w:lineRule="exact"/>
              <w:jc w:val="center"/>
              <w:rPr>
                <w:rStyle w:val="5"/>
                <w:rFonts w:hint="eastAsia" w:ascii="宋体" w:hAnsi="宋体" w:eastAsia="宋体" w:cs="宋体"/>
                <w:color w:val="auto"/>
                <w:sz w:val="21"/>
                <w:szCs w:val="21"/>
                <w:highlight w:val="none"/>
                <w:u w:val="none"/>
                <w:lang w:eastAsia="zh-CN"/>
              </w:rPr>
            </w:pPr>
            <w:r>
              <w:rPr>
                <w:rStyle w:val="5"/>
                <w:rFonts w:hint="eastAsia" w:ascii="宋体" w:hAnsi="宋体" w:eastAsia="宋体" w:cs="宋体"/>
                <w:color w:val="auto"/>
                <w:sz w:val="21"/>
                <w:szCs w:val="21"/>
                <w:highlight w:val="none"/>
                <w:u w:val="none"/>
                <w:lang w:eastAsia="zh-CN"/>
              </w:rPr>
              <w:t>双人同步事件相关电位系统</w:t>
            </w:r>
          </w:p>
        </w:tc>
        <w:tc>
          <w:tcPr>
            <w:tcW w:w="803" w:type="dxa"/>
            <w:tcBorders>
              <w:top w:val="single" w:color="auto" w:sz="4" w:space="0"/>
              <w:bottom w:val="single" w:color="auto" w:sz="4" w:space="0"/>
            </w:tcBorders>
            <w:noWrap w:val="0"/>
            <w:vAlign w:val="center"/>
          </w:tcPr>
          <w:p w14:paraId="793EE6F1">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2套</w:t>
            </w:r>
          </w:p>
        </w:tc>
        <w:tc>
          <w:tcPr>
            <w:tcW w:w="1436" w:type="dxa"/>
            <w:tcBorders>
              <w:top w:val="single" w:color="auto" w:sz="4" w:space="0"/>
              <w:bottom w:val="single" w:color="auto" w:sz="4" w:space="0"/>
            </w:tcBorders>
            <w:noWrap w:val="0"/>
            <w:vAlign w:val="center"/>
          </w:tcPr>
          <w:p w14:paraId="46D01325">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详见技术要求</w:t>
            </w:r>
          </w:p>
        </w:tc>
        <w:tc>
          <w:tcPr>
            <w:tcW w:w="1235" w:type="dxa"/>
            <w:tcBorders>
              <w:top w:val="single" w:color="auto" w:sz="4" w:space="0"/>
              <w:bottom w:val="single" w:color="auto" w:sz="4" w:space="0"/>
            </w:tcBorders>
            <w:noWrap w:val="0"/>
            <w:vAlign w:val="center"/>
          </w:tcPr>
          <w:p w14:paraId="0E5B177A">
            <w:pPr>
              <w:pStyle w:val="6"/>
              <w:spacing w:line="300" w:lineRule="exact"/>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2290000.00</w:t>
            </w:r>
            <w:r>
              <w:rPr>
                <w:rStyle w:val="5"/>
                <w:rFonts w:hint="eastAsia" w:ascii="宋体" w:hAnsi="宋体" w:eastAsia="宋体" w:cs="宋体"/>
                <w:color w:val="auto"/>
                <w:sz w:val="21"/>
                <w:szCs w:val="21"/>
                <w:highlight w:val="none"/>
                <w:u w:val="none"/>
              </w:rPr>
              <w:t>元</w:t>
            </w:r>
          </w:p>
        </w:tc>
        <w:tc>
          <w:tcPr>
            <w:tcW w:w="1398" w:type="dxa"/>
            <w:tcBorders>
              <w:top w:val="single" w:color="auto" w:sz="4" w:space="0"/>
              <w:bottom w:val="single" w:color="auto" w:sz="4" w:space="0"/>
            </w:tcBorders>
            <w:noWrap w:val="0"/>
            <w:vAlign w:val="center"/>
          </w:tcPr>
          <w:p w14:paraId="406E8F22">
            <w:pPr>
              <w:pStyle w:val="6"/>
              <w:spacing w:line="300" w:lineRule="exact"/>
              <w:jc w:val="center"/>
              <w:rPr>
                <w:rStyle w:val="5"/>
                <w:rFonts w:hint="eastAsia" w:ascii="宋体" w:hAnsi="宋体" w:eastAsia="宋体" w:cs="宋体"/>
                <w:color w:val="auto"/>
                <w:sz w:val="21"/>
                <w:szCs w:val="21"/>
                <w:highlight w:val="none"/>
                <w:u w:val="none"/>
                <w:lang w:eastAsia="zh-CN"/>
              </w:rPr>
            </w:pPr>
            <w:r>
              <w:rPr>
                <w:rStyle w:val="5"/>
                <w:rFonts w:hint="eastAsia" w:ascii="宋体" w:hAnsi="宋体" w:eastAsia="宋体" w:cs="宋体"/>
                <w:color w:val="auto"/>
                <w:sz w:val="21"/>
                <w:szCs w:val="21"/>
                <w:highlight w:val="none"/>
                <w:u w:val="none"/>
                <w:lang w:val="en-US" w:eastAsia="zh-CN"/>
              </w:rPr>
              <w:t>2100000.00元</w:t>
            </w:r>
          </w:p>
        </w:tc>
        <w:tc>
          <w:tcPr>
            <w:tcW w:w="917" w:type="dxa"/>
            <w:tcBorders>
              <w:top w:val="single" w:color="auto" w:sz="4" w:space="0"/>
              <w:bottom w:val="single" w:color="auto" w:sz="4" w:space="0"/>
            </w:tcBorders>
            <w:noWrap w:val="0"/>
            <w:vAlign w:val="center"/>
          </w:tcPr>
          <w:p w14:paraId="7816E7F8">
            <w:pPr>
              <w:spacing w:line="300" w:lineRule="exact"/>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允许</w:t>
            </w:r>
          </w:p>
        </w:tc>
      </w:tr>
      <w:tr w14:paraId="2463B236">
        <w:tblPrEx>
          <w:tblBorders>
            <w:top w:val="double" w:color="auto" w:sz="2" w:space="0"/>
            <w:left w:val="double" w:color="auto" w:sz="2" w:space="0"/>
            <w:bottom w:val="double" w:color="auto" w:sz="2" w:space="0"/>
            <w:right w:val="double" w:color="auto" w:sz="2" w:space="0"/>
            <w:insideH w:val="single" w:color="auto" w:sz="6" w:space="0"/>
            <w:insideV w:val="single" w:color="auto" w:sz="6" w:space="0"/>
          </w:tblBorders>
          <w:tblCellMar>
            <w:top w:w="0" w:type="dxa"/>
            <w:left w:w="108" w:type="dxa"/>
            <w:bottom w:w="0" w:type="dxa"/>
            <w:right w:w="108" w:type="dxa"/>
          </w:tblCellMar>
        </w:tblPrEx>
        <w:trPr>
          <w:trHeight w:val="744" w:hRule="atLeast"/>
          <w:jc w:val="center"/>
        </w:trPr>
        <w:tc>
          <w:tcPr>
            <w:tcW w:w="577" w:type="dxa"/>
            <w:tcBorders>
              <w:top w:val="single" w:color="auto" w:sz="4" w:space="0"/>
              <w:bottom w:val="single" w:color="auto" w:sz="4" w:space="0"/>
            </w:tcBorders>
            <w:noWrap w:val="0"/>
            <w:vAlign w:val="center"/>
          </w:tcPr>
          <w:p w14:paraId="14437736">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3</w:t>
            </w:r>
          </w:p>
        </w:tc>
        <w:tc>
          <w:tcPr>
            <w:tcW w:w="830" w:type="dxa"/>
            <w:tcBorders>
              <w:top w:val="single" w:color="auto" w:sz="4" w:space="0"/>
              <w:bottom w:val="single" w:color="auto" w:sz="4" w:space="0"/>
            </w:tcBorders>
            <w:noWrap w:val="0"/>
            <w:vAlign w:val="center"/>
          </w:tcPr>
          <w:p w14:paraId="7A1DA673">
            <w:pPr>
              <w:pStyle w:val="6"/>
              <w:spacing w:line="300" w:lineRule="exact"/>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包</w:t>
            </w:r>
            <w:r>
              <w:rPr>
                <w:rStyle w:val="5"/>
                <w:rFonts w:hint="eastAsia" w:ascii="宋体" w:hAnsi="宋体" w:eastAsia="宋体" w:cs="宋体"/>
                <w:color w:val="auto"/>
                <w:sz w:val="21"/>
                <w:szCs w:val="21"/>
                <w:highlight w:val="none"/>
                <w:u w:val="none"/>
                <w:lang w:val="en-US" w:eastAsia="zh-CN"/>
              </w:rPr>
              <w:t>3</w:t>
            </w:r>
            <w:r>
              <w:rPr>
                <w:rStyle w:val="5"/>
                <w:rFonts w:hint="eastAsia" w:ascii="宋体" w:hAnsi="宋体" w:eastAsia="宋体" w:cs="宋体"/>
                <w:color w:val="auto"/>
                <w:sz w:val="21"/>
                <w:szCs w:val="21"/>
                <w:highlight w:val="none"/>
                <w:u w:val="none"/>
              </w:rPr>
              <w:t xml:space="preserve"> </w:t>
            </w:r>
          </w:p>
        </w:tc>
        <w:tc>
          <w:tcPr>
            <w:tcW w:w="1581" w:type="dxa"/>
            <w:tcBorders>
              <w:top w:val="single" w:color="auto" w:sz="4" w:space="0"/>
              <w:bottom w:val="single" w:color="auto" w:sz="4" w:space="0"/>
            </w:tcBorders>
            <w:noWrap w:val="0"/>
            <w:vAlign w:val="center"/>
          </w:tcPr>
          <w:p w14:paraId="62721F64">
            <w:pPr>
              <w:pStyle w:val="6"/>
              <w:spacing w:line="300" w:lineRule="exact"/>
              <w:jc w:val="center"/>
              <w:rPr>
                <w:rStyle w:val="5"/>
                <w:rFonts w:hint="eastAsia" w:ascii="宋体" w:hAnsi="宋体" w:eastAsia="宋体" w:cs="宋体"/>
                <w:color w:val="auto"/>
                <w:sz w:val="21"/>
                <w:szCs w:val="21"/>
                <w:highlight w:val="none"/>
                <w:u w:val="none"/>
                <w:lang w:eastAsia="zh-CN"/>
              </w:rPr>
            </w:pPr>
            <w:r>
              <w:rPr>
                <w:rStyle w:val="5"/>
                <w:rFonts w:hint="eastAsia" w:ascii="宋体" w:hAnsi="宋体" w:eastAsia="宋体" w:cs="宋体"/>
                <w:color w:val="auto"/>
                <w:sz w:val="21"/>
                <w:szCs w:val="21"/>
                <w:highlight w:val="none"/>
                <w:u w:val="none"/>
                <w:lang w:eastAsia="zh-CN"/>
              </w:rPr>
              <w:t>便携式眼动仪</w:t>
            </w:r>
          </w:p>
        </w:tc>
        <w:tc>
          <w:tcPr>
            <w:tcW w:w="803" w:type="dxa"/>
            <w:tcBorders>
              <w:top w:val="single" w:color="auto" w:sz="4" w:space="0"/>
              <w:bottom w:val="single" w:color="auto" w:sz="4" w:space="0"/>
            </w:tcBorders>
            <w:noWrap w:val="0"/>
            <w:vAlign w:val="center"/>
          </w:tcPr>
          <w:p w14:paraId="3DA3FA79">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2套</w:t>
            </w:r>
          </w:p>
        </w:tc>
        <w:tc>
          <w:tcPr>
            <w:tcW w:w="1436" w:type="dxa"/>
            <w:tcBorders>
              <w:top w:val="single" w:color="auto" w:sz="4" w:space="0"/>
              <w:bottom w:val="single" w:color="auto" w:sz="4" w:space="0"/>
            </w:tcBorders>
            <w:noWrap w:val="0"/>
            <w:vAlign w:val="center"/>
          </w:tcPr>
          <w:p w14:paraId="1877E097">
            <w:pPr>
              <w:pStyle w:val="6"/>
              <w:widowControl/>
              <w:adjustRightInd w:val="0"/>
              <w:snapToGrid w:val="0"/>
              <w:spacing w:line="360" w:lineRule="auto"/>
              <w:jc w:val="center"/>
              <w:rPr>
                <w:rStyle w:val="5"/>
                <w:rFonts w:hint="eastAsia" w:ascii="宋体" w:hAnsi="宋体" w:eastAsia="宋体" w:cs="宋体"/>
                <w:color w:val="auto"/>
                <w:sz w:val="21"/>
                <w:szCs w:val="21"/>
                <w:highlight w:val="none"/>
                <w:u w:val="none"/>
              </w:rPr>
            </w:pPr>
            <w:r>
              <w:rPr>
                <w:rStyle w:val="5"/>
                <w:rFonts w:hint="eastAsia" w:ascii="宋体" w:hAnsi="宋体" w:eastAsia="宋体" w:cs="宋体"/>
                <w:color w:val="auto"/>
                <w:sz w:val="21"/>
                <w:szCs w:val="21"/>
                <w:highlight w:val="none"/>
                <w:u w:val="none"/>
              </w:rPr>
              <w:t>详见技术要求</w:t>
            </w:r>
          </w:p>
        </w:tc>
        <w:tc>
          <w:tcPr>
            <w:tcW w:w="1235" w:type="dxa"/>
            <w:tcBorders>
              <w:top w:val="single" w:color="auto" w:sz="4" w:space="0"/>
              <w:bottom w:val="single" w:color="auto" w:sz="4" w:space="0"/>
            </w:tcBorders>
            <w:noWrap w:val="0"/>
            <w:vAlign w:val="center"/>
          </w:tcPr>
          <w:p w14:paraId="56F2FC09">
            <w:pPr>
              <w:pStyle w:val="6"/>
              <w:spacing w:line="300" w:lineRule="exact"/>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1050000.00</w:t>
            </w:r>
            <w:r>
              <w:rPr>
                <w:rStyle w:val="5"/>
                <w:rFonts w:hint="eastAsia" w:ascii="宋体" w:hAnsi="宋体" w:eastAsia="宋体" w:cs="宋体"/>
                <w:color w:val="auto"/>
                <w:sz w:val="21"/>
                <w:szCs w:val="21"/>
                <w:highlight w:val="none"/>
                <w:u w:val="none"/>
              </w:rPr>
              <w:t>元</w:t>
            </w:r>
          </w:p>
        </w:tc>
        <w:tc>
          <w:tcPr>
            <w:tcW w:w="1398" w:type="dxa"/>
            <w:tcBorders>
              <w:top w:val="single" w:color="auto" w:sz="4" w:space="0"/>
              <w:bottom w:val="single" w:color="auto" w:sz="4" w:space="0"/>
            </w:tcBorders>
            <w:noWrap w:val="0"/>
            <w:vAlign w:val="center"/>
          </w:tcPr>
          <w:p w14:paraId="2AB5CBEC">
            <w:pPr>
              <w:pStyle w:val="6"/>
              <w:spacing w:line="300" w:lineRule="exact"/>
              <w:jc w:val="center"/>
              <w:rPr>
                <w:rStyle w:val="5"/>
                <w:rFonts w:hint="eastAsia" w:ascii="宋体" w:hAnsi="宋体" w:eastAsia="宋体" w:cs="宋体"/>
                <w:color w:val="auto"/>
                <w:sz w:val="21"/>
                <w:szCs w:val="21"/>
                <w:highlight w:val="none"/>
                <w:u w:val="none"/>
                <w:lang w:eastAsia="zh-CN"/>
              </w:rPr>
            </w:pPr>
            <w:r>
              <w:rPr>
                <w:rStyle w:val="5"/>
                <w:rFonts w:hint="eastAsia" w:ascii="宋体" w:hAnsi="宋体" w:eastAsia="宋体" w:cs="宋体"/>
                <w:color w:val="auto"/>
                <w:sz w:val="21"/>
                <w:szCs w:val="21"/>
                <w:highlight w:val="none"/>
                <w:u w:val="none"/>
                <w:lang w:val="en-US" w:eastAsia="zh-CN"/>
              </w:rPr>
              <w:t>953600.00元</w:t>
            </w:r>
          </w:p>
        </w:tc>
        <w:tc>
          <w:tcPr>
            <w:tcW w:w="917" w:type="dxa"/>
            <w:tcBorders>
              <w:top w:val="single" w:color="auto" w:sz="4" w:space="0"/>
              <w:bottom w:val="single" w:color="auto" w:sz="4" w:space="0"/>
            </w:tcBorders>
            <w:noWrap w:val="0"/>
            <w:vAlign w:val="center"/>
          </w:tcPr>
          <w:p w14:paraId="5C25D4C9">
            <w:pPr>
              <w:spacing w:line="300" w:lineRule="exact"/>
              <w:jc w:val="center"/>
              <w:rPr>
                <w:rStyle w:val="5"/>
                <w:rFonts w:hint="eastAsia" w:ascii="宋体" w:hAnsi="宋体" w:eastAsia="宋体" w:cs="宋体"/>
                <w:color w:val="auto"/>
                <w:sz w:val="21"/>
                <w:szCs w:val="21"/>
                <w:highlight w:val="none"/>
                <w:u w:val="none"/>
                <w:lang w:val="en-US" w:eastAsia="zh-CN"/>
              </w:rPr>
            </w:pPr>
            <w:r>
              <w:rPr>
                <w:rStyle w:val="5"/>
                <w:rFonts w:hint="eastAsia" w:ascii="宋体" w:hAnsi="宋体" w:eastAsia="宋体" w:cs="宋体"/>
                <w:color w:val="auto"/>
                <w:sz w:val="21"/>
                <w:szCs w:val="21"/>
                <w:highlight w:val="none"/>
                <w:u w:val="none"/>
                <w:lang w:val="en-US" w:eastAsia="zh-CN"/>
              </w:rPr>
              <w:t>允许</w:t>
            </w:r>
          </w:p>
        </w:tc>
      </w:tr>
    </w:tbl>
    <w:p w14:paraId="2006D68C">
      <w:pPr>
        <w:pStyle w:val="6"/>
        <w:widowControl w:val="0"/>
        <w:adjustRightInd w:val="0"/>
        <w:snapToGrid w:val="0"/>
        <w:spacing w:before="156" w:beforeLines="50" w:line="360" w:lineRule="auto"/>
        <w:jc w:val="both"/>
        <w:rPr>
          <w:rStyle w:val="5"/>
          <w:rFonts w:ascii="宋体" w:hAnsi="宋体" w:eastAsia="宋体" w:cs="Times New Roman"/>
          <w:color w:val="auto"/>
          <w:kern w:val="2"/>
          <w:sz w:val="21"/>
          <w:szCs w:val="21"/>
          <w:highlight w:val="none"/>
          <w:lang w:val="en-US" w:eastAsia="zh-CN" w:bidi="ar-SA"/>
        </w:rPr>
      </w:pPr>
      <w:r>
        <w:rPr>
          <w:rStyle w:val="5"/>
          <w:rFonts w:hint="eastAsia" w:ascii="宋体" w:hAnsi="宋体" w:eastAsia="宋体" w:cs="Times New Roman"/>
          <w:color w:val="auto"/>
          <w:kern w:val="2"/>
          <w:sz w:val="21"/>
          <w:szCs w:val="21"/>
          <w:highlight w:val="none"/>
          <w:lang w:val="en-US" w:eastAsia="zh-CN" w:bidi="ar-SA"/>
        </w:rPr>
        <w:t>注：1、“包”为最小合同单位（最小投标单位）。每“包”内容应细化到“品目”（如果分品目的）。</w:t>
      </w:r>
    </w:p>
    <w:p w14:paraId="574E5C59">
      <w:pPr>
        <w:pStyle w:val="6"/>
        <w:widowControl w:val="0"/>
        <w:adjustRightInd w:val="0"/>
        <w:snapToGrid w:val="0"/>
        <w:spacing w:before="156" w:beforeLines="50" w:line="360" w:lineRule="auto"/>
        <w:ind w:firstLine="420" w:firstLineChars="200"/>
        <w:jc w:val="both"/>
        <w:rPr>
          <w:rStyle w:val="5"/>
          <w:rFonts w:ascii="宋体" w:hAnsi="宋体" w:eastAsia="宋体" w:cs="Times New Roman"/>
          <w:color w:val="auto"/>
          <w:kern w:val="2"/>
          <w:sz w:val="21"/>
          <w:szCs w:val="21"/>
          <w:highlight w:val="none"/>
          <w:lang w:val="en-US" w:eastAsia="zh-CN" w:bidi="ar-SA"/>
        </w:rPr>
      </w:pPr>
      <w:r>
        <w:rPr>
          <w:rStyle w:val="5"/>
          <w:rFonts w:hint="eastAsia" w:ascii="宋体" w:hAnsi="宋体" w:eastAsia="宋体" w:cs="Times New Roman"/>
          <w:color w:val="auto"/>
          <w:kern w:val="2"/>
          <w:sz w:val="21"/>
          <w:szCs w:val="21"/>
          <w:highlight w:val="none"/>
          <w:lang w:val="en-US" w:eastAsia="zh-CN" w:bidi="ar-SA"/>
        </w:rPr>
        <w:t>2、投标人必须对一个完整、独立的包进行投标，不得仅对一个包中的部分品目投标，否则</w:t>
      </w:r>
      <w:r>
        <w:rPr>
          <w:rStyle w:val="5"/>
          <w:rFonts w:hint="eastAsia" w:ascii="宋体" w:hAnsi="宋体" w:eastAsia="宋体" w:cs="Times New Roman"/>
          <w:b/>
          <w:color w:val="auto"/>
          <w:kern w:val="2"/>
          <w:sz w:val="21"/>
          <w:szCs w:val="21"/>
          <w:highlight w:val="none"/>
          <w:lang w:val="en-US" w:eastAsia="zh-CN" w:bidi="ar-SA"/>
        </w:rPr>
        <w:t>投标无效。</w:t>
      </w:r>
    </w:p>
    <w:p w14:paraId="7C707B1E">
      <w:pPr>
        <w:pStyle w:val="6"/>
        <w:widowControl w:val="0"/>
        <w:adjustRightInd w:val="0"/>
        <w:snapToGrid w:val="0"/>
        <w:spacing w:before="156" w:beforeLines="50" w:line="360" w:lineRule="auto"/>
        <w:ind w:firstLine="420" w:firstLineChars="200"/>
        <w:jc w:val="both"/>
        <w:rPr>
          <w:rStyle w:val="5"/>
          <w:rFonts w:ascii="宋体" w:hAnsi="宋体" w:eastAsia="宋体" w:cs="宋体"/>
          <w:color w:val="auto"/>
          <w:kern w:val="0"/>
          <w:sz w:val="21"/>
          <w:szCs w:val="21"/>
          <w:highlight w:val="none"/>
          <w:lang w:val="en-US" w:eastAsia="zh-CN" w:bidi="ar-SA"/>
        </w:rPr>
      </w:pPr>
      <w:r>
        <w:rPr>
          <w:rStyle w:val="5"/>
          <w:rFonts w:hint="eastAsia" w:ascii="宋体" w:hAnsi="宋体" w:eastAsia="宋体" w:cs="Times New Roman"/>
          <w:color w:val="auto"/>
          <w:kern w:val="2"/>
          <w:sz w:val="21"/>
          <w:szCs w:val="21"/>
          <w:highlight w:val="none"/>
          <w:lang w:val="en-US" w:eastAsia="zh-CN" w:bidi="ar-SA"/>
        </w:rPr>
        <w:t>3、货物的主要技术参数或规格：</w:t>
      </w:r>
      <w:r>
        <w:rPr>
          <w:rStyle w:val="5"/>
          <w:rFonts w:ascii="宋体" w:hAnsi="宋体" w:eastAsia="宋体" w:cs="宋体"/>
          <w:color w:val="auto"/>
          <w:kern w:val="0"/>
          <w:sz w:val="21"/>
          <w:szCs w:val="21"/>
          <w:highlight w:val="none"/>
          <w:lang w:val="en-US" w:eastAsia="zh-CN" w:bidi="ar-SA"/>
        </w:rPr>
        <w:t>详见“技术要求”中的具体技术参数</w:t>
      </w:r>
      <w:r>
        <w:rPr>
          <w:rStyle w:val="5"/>
          <w:rFonts w:hint="eastAsia" w:ascii="宋体" w:hAnsi="宋体" w:eastAsia="宋体" w:cs="宋体"/>
          <w:color w:val="auto"/>
          <w:kern w:val="0"/>
          <w:sz w:val="21"/>
          <w:szCs w:val="21"/>
          <w:highlight w:val="none"/>
          <w:lang w:val="en-US" w:eastAsia="zh-CN" w:bidi="ar-SA"/>
        </w:rPr>
        <w:t>。</w:t>
      </w:r>
    </w:p>
    <w:p w14:paraId="1EE12A72">
      <w:pPr>
        <w:pStyle w:val="6"/>
        <w:widowControl w:val="0"/>
        <w:adjustRightInd w:val="0"/>
        <w:snapToGrid w:val="0"/>
        <w:spacing w:before="156" w:beforeLines="50" w:line="360" w:lineRule="auto"/>
        <w:ind w:firstLine="420" w:firstLineChars="200"/>
        <w:jc w:val="both"/>
        <w:rPr>
          <w:rStyle w:val="5"/>
          <w:rFonts w:hint="eastAsia" w:ascii="宋体" w:hAnsi="宋体" w:eastAsia="宋体" w:cs="宋体"/>
          <w:color w:val="auto"/>
          <w:kern w:val="0"/>
          <w:sz w:val="21"/>
          <w:szCs w:val="21"/>
          <w:highlight w:val="none"/>
          <w:lang w:val="en-US" w:eastAsia="zh-CN" w:bidi="ar-SA"/>
        </w:rPr>
      </w:pPr>
      <w:r>
        <w:rPr>
          <w:rStyle w:val="5"/>
          <w:rFonts w:hint="eastAsia" w:ascii="宋体" w:hAnsi="宋体" w:eastAsia="宋体" w:cs="宋体"/>
          <w:bCs/>
          <w:color w:val="auto"/>
          <w:kern w:val="0"/>
          <w:sz w:val="21"/>
          <w:szCs w:val="21"/>
          <w:highlight w:val="none"/>
          <w:lang w:val="en-US" w:eastAsia="zh-CN" w:bidi="ar-SA"/>
        </w:rPr>
        <w:t>4、投标人应</w:t>
      </w:r>
      <w:r>
        <w:rPr>
          <w:rStyle w:val="5"/>
          <w:rFonts w:hint="eastAsia" w:ascii="宋体" w:hAnsi="宋体" w:eastAsia="宋体" w:cs="宋体"/>
          <w:color w:val="auto"/>
          <w:kern w:val="0"/>
          <w:sz w:val="21"/>
          <w:szCs w:val="21"/>
          <w:highlight w:val="none"/>
          <w:lang w:val="en-US" w:eastAsia="zh-CN" w:bidi="ar-SA"/>
        </w:rPr>
        <w:t>在投标文件《分项报价明细表》中按</w:t>
      </w:r>
      <w:r>
        <w:rPr>
          <w:rStyle w:val="5"/>
          <w:rFonts w:hint="eastAsia" w:ascii="宋体" w:hAnsi="宋体" w:eastAsia="宋体" w:cs="Times New Roman"/>
          <w:color w:val="auto"/>
          <w:kern w:val="2"/>
          <w:sz w:val="21"/>
          <w:szCs w:val="21"/>
          <w:highlight w:val="none"/>
          <w:lang w:val="en-US" w:eastAsia="zh-CN" w:bidi="ar-SA"/>
        </w:rPr>
        <w:t>分项项目名称（包括</w:t>
      </w:r>
      <w:r>
        <w:rPr>
          <w:rStyle w:val="5"/>
          <w:rFonts w:hint="eastAsia" w:ascii="宋体" w:hAnsi="宋体" w:eastAsia="宋体" w:cs="宋体"/>
          <w:color w:val="auto"/>
          <w:kern w:val="0"/>
          <w:sz w:val="21"/>
          <w:szCs w:val="21"/>
          <w:highlight w:val="none"/>
          <w:lang w:val="en-US" w:eastAsia="zh-CN" w:bidi="ar-SA"/>
        </w:rPr>
        <w:t>条目号/品目名称）顺序逐项填写，且每个品目中的条目均需按招标文件规定报价。如有缺项、漏项，其</w:t>
      </w:r>
      <w:r>
        <w:rPr>
          <w:rStyle w:val="5"/>
          <w:rFonts w:hint="eastAsia" w:ascii="宋体" w:hAnsi="宋体" w:eastAsia="宋体" w:cs="宋体"/>
          <w:b/>
          <w:color w:val="auto"/>
          <w:kern w:val="0"/>
          <w:sz w:val="21"/>
          <w:szCs w:val="21"/>
          <w:highlight w:val="none"/>
          <w:lang w:val="en-US" w:eastAsia="zh-CN" w:bidi="ar-SA"/>
        </w:rPr>
        <w:t>投标无效</w:t>
      </w:r>
      <w:r>
        <w:rPr>
          <w:rStyle w:val="5"/>
          <w:rFonts w:hint="eastAsia" w:ascii="宋体" w:hAnsi="宋体" w:eastAsia="宋体" w:cs="宋体"/>
          <w:color w:val="auto"/>
          <w:kern w:val="0"/>
          <w:sz w:val="21"/>
          <w:szCs w:val="21"/>
          <w:highlight w:val="none"/>
          <w:lang w:val="en-US" w:eastAsia="zh-CN" w:bidi="ar-SA"/>
        </w:rPr>
        <w:t>。</w:t>
      </w:r>
    </w:p>
    <w:p w14:paraId="0E07CFED">
      <w:pPr>
        <w:pStyle w:val="6"/>
        <w:widowControl w:val="0"/>
        <w:adjustRightInd w:val="0"/>
        <w:snapToGrid w:val="0"/>
        <w:ind w:firstLine="422" w:firstLineChars="200"/>
        <w:jc w:val="both"/>
        <w:rPr>
          <w:rStyle w:val="5"/>
          <w:rFonts w:hint="eastAsia" w:ascii="宋体" w:hAnsi="宋体" w:eastAsia="宋体" w:cs="Times New Roman"/>
          <w:b/>
          <w:bCs/>
          <w:color w:val="auto"/>
          <w:kern w:val="2"/>
          <w:sz w:val="21"/>
          <w:szCs w:val="21"/>
          <w:highlight w:val="none"/>
          <w:lang w:val="en-US" w:eastAsia="zh-CN" w:bidi="ar-SA"/>
        </w:rPr>
      </w:pPr>
      <w:r>
        <w:rPr>
          <w:rStyle w:val="5"/>
          <w:rFonts w:hint="eastAsia" w:ascii="Calibri" w:hAnsi="Calibri" w:eastAsia="宋体" w:cs="Times New Roman"/>
          <w:b/>
          <w:bCs/>
          <w:color w:val="auto"/>
          <w:kern w:val="2"/>
          <w:sz w:val="21"/>
          <w:szCs w:val="21"/>
          <w:highlight w:val="none"/>
          <w:lang w:val="en-US" w:eastAsia="zh-CN" w:bidi="ar-SA"/>
        </w:rPr>
        <w:t>5.</w:t>
      </w:r>
      <w:r>
        <w:rPr>
          <w:rStyle w:val="5"/>
          <w:rFonts w:hint="eastAsia" w:ascii="宋体" w:hAnsi="宋体" w:eastAsia="宋体" w:cs="Times New Roman"/>
          <w:b/>
          <w:color w:val="auto"/>
          <w:kern w:val="2"/>
          <w:sz w:val="21"/>
          <w:szCs w:val="21"/>
          <w:highlight w:val="none"/>
          <w:lang w:val="en-US" w:eastAsia="zh-CN" w:bidi="ar-SA"/>
        </w:rPr>
        <w:t>★投标人投标报价不得超过总价最高限价，否则在评标时将视为无效投标</w:t>
      </w:r>
      <w:r>
        <w:rPr>
          <w:rStyle w:val="5"/>
          <w:rFonts w:hint="eastAsia" w:ascii="宋体" w:hAnsi="宋体" w:eastAsia="宋体" w:cs="宋体"/>
          <w:b/>
          <w:color w:val="auto"/>
          <w:kern w:val="2"/>
          <w:sz w:val="21"/>
          <w:szCs w:val="21"/>
          <w:highlight w:val="none"/>
          <w:lang w:val="en-US" w:eastAsia="zh-CN" w:bidi="ar-SA"/>
        </w:rPr>
        <w:t>。</w:t>
      </w:r>
    </w:p>
    <w:p w14:paraId="68C078C8">
      <w:pPr>
        <w:pStyle w:val="6"/>
        <w:widowControl w:val="0"/>
        <w:adjustRightInd w:val="0"/>
        <w:snapToGrid w:val="0"/>
        <w:spacing w:before="156" w:beforeLines="50" w:line="360" w:lineRule="auto"/>
        <w:ind w:firstLine="420" w:firstLineChars="200"/>
        <w:jc w:val="both"/>
        <w:rPr>
          <w:rStyle w:val="5"/>
          <w:rFonts w:hint="eastAsia" w:ascii="宋体" w:hAnsi="宋体" w:eastAsia="宋体" w:cs="宋体"/>
          <w:color w:val="auto"/>
          <w:kern w:val="0"/>
          <w:sz w:val="21"/>
          <w:szCs w:val="21"/>
          <w:highlight w:val="none"/>
          <w:lang w:val="en-US" w:eastAsia="zh-CN" w:bidi="ar-SA"/>
        </w:rPr>
      </w:pPr>
    </w:p>
    <w:p w14:paraId="60A7A701">
      <w:pPr>
        <w:pStyle w:val="6"/>
        <w:widowControl w:val="0"/>
        <w:adjustRightInd w:val="0"/>
        <w:snapToGrid w:val="0"/>
        <w:spacing w:before="156" w:beforeLines="50" w:line="360" w:lineRule="auto"/>
        <w:ind w:firstLine="420" w:firstLineChars="200"/>
        <w:jc w:val="both"/>
        <w:rPr>
          <w:rStyle w:val="5"/>
          <w:rFonts w:ascii="宋体" w:hAnsi="宋体" w:eastAsia="宋体" w:cs="宋体"/>
          <w:color w:val="auto"/>
          <w:kern w:val="0"/>
          <w:sz w:val="21"/>
          <w:szCs w:val="21"/>
          <w:highlight w:val="none"/>
          <w:lang w:val="en-US" w:eastAsia="zh-CN" w:bidi="ar-SA"/>
        </w:rPr>
      </w:pPr>
    </w:p>
    <w:p w14:paraId="33049294">
      <w:pPr>
        <w:pStyle w:val="6"/>
        <w:keepNext/>
        <w:keepLines/>
        <w:widowControl w:val="0"/>
        <w:adjustRightInd w:val="0"/>
        <w:snapToGrid w:val="0"/>
        <w:spacing w:before="156" w:beforeLines="50" w:line="360" w:lineRule="auto"/>
        <w:jc w:val="center"/>
        <w:outlineLvl w:val="1"/>
        <w:rPr>
          <w:rStyle w:val="5"/>
          <w:rFonts w:ascii="黑体" w:hAnsi="黑体" w:eastAsia="黑体" w:cs="Times New Roman"/>
          <w:b/>
          <w:bCs/>
          <w:color w:val="auto"/>
          <w:kern w:val="2"/>
          <w:sz w:val="28"/>
          <w:szCs w:val="28"/>
          <w:highlight w:val="none"/>
          <w:lang w:val="en-US" w:eastAsia="zh-CN" w:bidi="ar-SA"/>
        </w:rPr>
      </w:pPr>
      <w:bookmarkStart w:id="3" w:name="_Toc29913943"/>
      <w:r>
        <w:rPr>
          <w:rStyle w:val="5"/>
          <w:rFonts w:hint="eastAsia" w:ascii="黑体" w:hAnsi="黑体" w:eastAsia="黑体" w:cs="Times New Roman"/>
          <w:b/>
          <w:bCs/>
          <w:color w:val="auto"/>
          <w:kern w:val="2"/>
          <w:sz w:val="28"/>
          <w:szCs w:val="28"/>
          <w:highlight w:val="none"/>
          <w:lang w:val="en-US" w:eastAsia="zh-CN" w:bidi="ar-SA"/>
        </w:rPr>
        <w:br w:type="page"/>
      </w:r>
      <w:bookmarkStart w:id="4" w:name="_Toc256000039"/>
      <w:r>
        <w:rPr>
          <w:rStyle w:val="5"/>
          <w:rFonts w:hint="eastAsia" w:ascii="黑体" w:hAnsi="黑体" w:eastAsia="黑体" w:cs="Times New Roman"/>
          <w:b/>
          <w:bCs/>
          <w:color w:val="auto"/>
          <w:kern w:val="2"/>
          <w:sz w:val="28"/>
          <w:szCs w:val="28"/>
          <w:highlight w:val="none"/>
          <w:lang w:val="en-US" w:eastAsia="zh-CN" w:bidi="ar-SA"/>
        </w:rPr>
        <w:t xml:space="preserve">第二节 </w:t>
      </w:r>
      <w:r>
        <w:rPr>
          <w:rStyle w:val="5"/>
          <w:rFonts w:ascii="黑体" w:hAnsi="黑体" w:eastAsia="黑体" w:cs="Times New Roman"/>
          <w:b/>
          <w:bCs/>
          <w:color w:val="auto"/>
          <w:kern w:val="2"/>
          <w:sz w:val="28"/>
          <w:szCs w:val="28"/>
          <w:highlight w:val="none"/>
          <w:lang w:val="en-US" w:eastAsia="zh-CN" w:bidi="ar-SA"/>
        </w:rPr>
        <w:t>技术要求</w:t>
      </w:r>
    </w:p>
    <w:p w14:paraId="707F2D95">
      <w:pPr>
        <w:keepNext w:val="0"/>
        <w:keepLines w:val="0"/>
        <w:pageBreakBefore w:val="0"/>
        <w:widowControl w:val="0"/>
        <w:kinsoku/>
        <w:wordWrap/>
        <w:overflowPunct/>
        <w:topLinePunct w:val="0"/>
        <w:autoSpaceDE/>
        <w:autoSpaceDN/>
        <w:bidi w:val="0"/>
        <w:adjustRightInd/>
        <w:snapToGrid/>
        <w:spacing w:line="400" w:lineRule="exact"/>
        <w:ind w:firstLine="643" w:firstLineChars="200"/>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包1：台式近红外脑功能成像系统</w:t>
      </w:r>
    </w:p>
    <w:bookmarkEnd w:id="3"/>
    <w:bookmarkEnd w:id="4"/>
    <w:p w14:paraId="2D84E120">
      <w:pPr>
        <w:pStyle w:val="7"/>
        <w:bidi w:val="0"/>
        <w:jc w:val="both"/>
        <w:rPr>
          <w:rStyle w:val="5"/>
          <w:rFonts w:hint="eastAsia" w:eastAsia="宋体" w:cs="Times New Roman"/>
          <w:color w:val="auto"/>
          <w:highlight w:val="none"/>
          <w:lang w:val="en-US" w:eastAsia="zh-CN"/>
        </w:rPr>
      </w:pPr>
      <w:bookmarkStart w:id="5" w:name="_Toc256000040"/>
      <w:r>
        <w:rPr>
          <w:rStyle w:val="5"/>
          <w:rFonts w:hint="eastAsia" w:ascii="Times New Roman" w:hAnsi="Times New Roman" w:eastAsia="宋体" w:cs="Times New Roman"/>
          <w:color w:val="auto"/>
          <w:kern w:val="2"/>
          <w:sz w:val="21"/>
          <w:highlight w:val="none"/>
          <w:lang w:val="en-US" w:eastAsia="zh-CN"/>
        </w:rPr>
        <w:t>一、项目简述：</w:t>
      </w:r>
      <w:bookmarkEnd w:id="5"/>
    </w:p>
    <w:p w14:paraId="5D4D2FC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bookmarkStart w:id="6" w:name="_Toc256000043"/>
      <w:bookmarkStart w:id="7" w:name="_Toc256000041"/>
      <w:r>
        <w:rPr>
          <w:rStyle w:val="5"/>
          <w:rFonts w:hint="eastAsia" w:ascii="宋体" w:hAnsi="宋体" w:eastAsia="宋体" w:cs="宋体"/>
          <w:color w:val="auto"/>
          <w:kern w:val="2"/>
          <w:sz w:val="21"/>
          <w:szCs w:val="21"/>
          <w:highlight w:val="none"/>
          <w:lang w:val="en-US" w:eastAsia="zh-CN" w:bidi="ar-SA"/>
        </w:rPr>
        <w:t>为满足我校心理学、教育学及认知神经科学相关研究不断增长的科研需求，进一步完善脑科学与教育交叉研究的实验条件，拟采购一套高通道台式近红外脑功能成像系统（fNIRS）。该设备具有高通道数、高时间分辨率及较好的空间覆盖能力，可对大脑前额叶等关键脑区的血氧浓度变化进行实时监测，从而客观反映个体在认知加工、学习理解与情绪调节过程中的脑功能活动。相较于传统脑成像设备，近红外脑功能成像系统具有无创、安全、便携性强、抗运动干扰能力好等优势，尤其适用于儿童与青少年群体的实验研究。</w:t>
      </w:r>
    </w:p>
    <w:p w14:paraId="4EA3EE5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在科研应用方面，该设备可广泛服务于儿童认知发展、学习障碍识别与干预、学习策略与注意调控机制研究以及课堂教学模式优化等方向。例如，通过监测前额叶血氧变化，可探究执行功能、注意控制与工作记忆等核心认知能力的发展规律，并为学习困难学生的客观评估提供神经生理依据。同时，该设备还可用于研究不同教学方式和学习情境下的脑认知机制，为教学设计与教育技术创新提供科学依据。</w:t>
      </w:r>
    </w:p>
    <w:p w14:paraId="3944D47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both"/>
        <w:textAlignment w:val="auto"/>
        <w:rPr>
          <w:rFonts w:hint="eastAsia" w:ascii="仿宋" w:hAnsi="仿宋" w:eastAsia="仿宋" w:cs="仿宋"/>
          <w:b w:val="0"/>
          <w:bCs w:val="0"/>
          <w:color w:val="auto"/>
          <w:sz w:val="24"/>
          <w:szCs w:val="24"/>
          <w:highlight w:val="none"/>
          <w:lang w:val="en-US" w:eastAsia="zh-CN"/>
        </w:rPr>
      </w:pPr>
    </w:p>
    <w:p w14:paraId="0EC7B3EF">
      <w:pPr>
        <w:pStyle w:val="7"/>
        <w:bidi w:val="0"/>
        <w:jc w:val="left"/>
        <w:rPr>
          <w:rStyle w:val="5"/>
          <w:rFonts w:hint="eastAsia" w:eastAsia="宋体" w:cs="Times New Roman"/>
          <w:color w:val="auto"/>
          <w:highlight w:val="none"/>
        </w:rPr>
      </w:pPr>
      <w:r>
        <w:rPr>
          <w:rStyle w:val="5"/>
          <w:rFonts w:hint="eastAsia" w:ascii="Times New Roman" w:hAnsi="Times New Roman" w:eastAsia="宋体" w:cs="Times New Roman"/>
          <w:color w:val="auto"/>
          <w:kern w:val="2"/>
          <w:sz w:val="21"/>
          <w:highlight w:val="none"/>
        </w:rPr>
        <w:t>二、</w:t>
      </w:r>
      <w:bookmarkEnd w:id="6"/>
      <w:r>
        <w:rPr>
          <w:rStyle w:val="5"/>
          <w:rFonts w:ascii="Times New Roman" w:hAnsi="Times New Roman" w:eastAsia="宋体" w:cs="Times New Roman"/>
          <w:color w:val="auto"/>
          <w:kern w:val="2"/>
          <w:sz w:val="21"/>
          <w:highlight w:val="none"/>
        </w:rPr>
        <w:t>技术参数及功能要求：</w:t>
      </w:r>
      <w:bookmarkEnd w:id="7"/>
    </w:p>
    <w:p w14:paraId="3D0B694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bookmarkStart w:id="8" w:name="_Toc256000042"/>
      <w:r>
        <w:rPr>
          <w:rStyle w:val="5"/>
          <w:rFonts w:hint="eastAsia" w:ascii="宋体" w:hAnsi="宋体" w:eastAsia="宋体" w:cs="宋体"/>
          <w:color w:val="auto"/>
          <w:kern w:val="2"/>
          <w:sz w:val="21"/>
          <w:szCs w:val="21"/>
          <w:highlight w:val="none"/>
          <w:lang w:val="en-US" w:eastAsia="zh-CN" w:bidi="ar-SA"/>
        </w:rPr>
        <w:t>1)★光源数量：≥32；探测器数量：≥32；探测器类型：雪崩二极管（APD）</w:t>
      </w:r>
    </w:p>
    <w:p w14:paraId="70A7420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2)光源类型：激光Laser，光源安全等级为豁免级。</w:t>
      </w:r>
    </w:p>
    <w:p w14:paraId="6444623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3)★探测器灵敏度：APD≤ 0.5pW。探测器动态范围：APD≥70 dBopt。提供正规第三方机构出具的检测报告首页和对应关键页作为证明材料。</w:t>
      </w:r>
    </w:p>
    <w:p w14:paraId="2C7D5DD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4)光源发射功率：每波长≥20mw（class I标准，对人体无损害，婴幼儿可用）。提供正规第三方机构出具的检测报告首页和对应关键页作为证明材料</w:t>
      </w:r>
    </w:p>
    <w:p w14:paraId="7273016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5)▲探头设计：双头设计，保证信号采集质量，可提供有钝头、TMS兼容探头、核磁兼容探头作为配件。</w:t>
      </w:r>
    </w:p>
    <w:p w14:paraId="5D3C296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6) 采样率：≥10Hz，最高可达240Hz，单通道采样率≥100Hz。</w:t>
      </w:r>
    </w:p>
    <w:p w14:paraId="056D50C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7) 最大有效通道：≥112有效探测通道。</w:t>
      </w:r>
    </w:p>
    <w:p w14:paraId="281EF2E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8)★兼容性：支持与一线品牌不同规格型号的脑电（EEG）、tDCS、TMS、眼动等设备联用；</w:t>
      </w:r>
    </w:p>
    <w:p w14:paraId="5C832A1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9) 数据采集方式：分时采集；</w:t>
      </w:r>
    </w:p>
    <w:p w14:paraId="0B18624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10) 数据采集方式：USB有线数据传输；</w:t>
      </w:r>
    </w:p>
    <w:p w14:paraId="4199720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 ▲近三年使用该设备在Nature、Science、Cell等中科院1区SCI或SSCI杂志发表论文；近三年联合使用该设备与EEG、tDCS、TMS或眼动在中科院2区及以上SCI或SSCI杂志发表论文（提供至少三篇以上论文作为证明资料）。</w:t>
      </w:r>
    </w:p>
    <w:p w14:paraId="504F8D6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12)▲测量帽：标配54cm、56cm、58cm、60cm型号测量帽，满足全年龄段被试使用，支持自由配置探头布局，用户可根据需求配置ROI布局（在8*8、16*16的选择下实现不同脑区域的大脑信号采集）。</w:t>
      </w:r>
    </w:p>
    <w:p w14:paraId="6B35118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13)▲人体功效光级底座装置：具备≥3档可调节弹簧结构，佩戴舒适且便于信号调节。</w:t>
      </w:r>
    </w:p>
    <w:p w14:paraId="2F8DCEF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14)▲支持Hyperscanning 功能：超扫描Hyperscanning 最小支持4名被试提供8*8配置。</w:t>
      </w:r>
    </w:p>
    <w:p w14:paraId="5291B76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15)★提供与整机同品牌专用数据采集与分析软件，无需加密狗或离线授权码，可永久本地使用。</w:t>
      </w:r>
    </w:p>
    <w:p w14:paraId="61F65EE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16)▲分析软件可集成Python脚本插件，支持用户编写自定义Python脚本导入分析软件并应用至工作流分析。</w:t>
      </w:r>
    </w:p>
    <w:p w14:paraId="303B83E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17)▲视频同步：支持与fNIRS采集过程同步的高清视频记录；支持接入多个基于LSL协议的标记流（Marker Stream），实现行为数据、刺激事件与fNIRS信号的精准同步采集。</w:t>
      </w:r>
    </w:p>
    <w:p w14:paraId="0C3BDFD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18)▲三维定位分析软件：更加方便地在近红外成像或多模态结合测量中探头光极的定位，该软件与采集软件和分析软件可结合使用。</w:t>
      </w:r>
    </w:p>
    <w:p w14:paraId="0F23021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jc w:val="both"/>
        <w:textAlignment w:val="auto"/>
        <w:rPr>
          <w:rFonts w:hint="eastAsia" w:ascii="仿宋" w:hAnsi="仿宋" w:eastAsia="仿宋" w:cs="仿宋"/>
          <w:b w:val="0"/>
          <w:bCs w:val="0"/>
          <w:color w:val="auto"/>
          <w:sz w:val="28"/>
          <w:szCs w:val="28"/>
          <w:highlight w:val="none"/>
          <w:lang w:eastAsia="zh-CN"/>
        </w:rPr>
      </w:pPr>
      <w:r>
        <w:rPr>
          <w:rStyle w:val="5"/>
          <w:rFonts w:hint="eastAsia" w:ascii="宋体" w:hAnsi="宋体" w:eastAsia="宋体" w:cs="宋体"/>
          <w:color w:val="auto"/>
          <w:kern w:val="2"/>
          <w:sz w:val="21"/>
          <w:szCs w:val="21"/>
          <w:highlight w:val="none"/>
          <w:lang w:val="en-US" w:eastAsia="zh-CN" w:bidi="ar-SA"/>
        </w:rPr>
        <w:t>19) 血氧状态计算：可自由设定DPF系数，定制基线，光源探测器距离，选择比尔朗伯定律等。</w:t>
      </w:r>
    </w:p>
    <w:p w14:paraId="1D54EBA8">
      <w:pPr>
        <w:keepNext w:val="0"/>
        <w:keepLines w:val="0"/>
        <w:pageBreakBefore w:val="0"/>
        <w:widowControl w:val="0"/>
        <w:kinsoku/>
        <w:wordWrap/>
        <w:overflowPunct/>
        <w:topLinePunct w:val="0"/>
        <w:autoSpaceDE/>
        <w:autoSpaceDN/>
        <w:bidi w:val="0"/>
        <w:adjustRightInd/>
        <w:snapToGrid/>
        <w:spacing w:line="400" w:lineRule="exact"/>
        <w:ind w:firstLine="723" w:firstLineChars="200"/>
        <w:jc w:val="center"/>
        <w:textAlignment w:val="auto"/>
        <w:rPr>
          <w:rFonts w:hint="eastAsia" w:ascii="仿宋" w:hAnsi="仿宋" w:eastAsia="仿宋" w:cs="仿宋"/>
          <w:b/>
          <w:bCs/>
          <w:color w:val="auto"/>
          <w:sz w:val="36"/>
          <w:szCs w:val="36"/>
          <w:highlight w:val="none"/>
          <w:lang w:val="en-US" w:eastAsia="zh-CN"/>
        </w:rPr>
      </w:pPr>
    </w:p>
    <w:p w14:paraId="296E3D84">
      <w:pPr>
        <w:keepNext w:val="0"/>
        <w:keepLines w:val="0"/>
        <w:pageBreakBefore w:val="0"/>
        <w:widowControl w:val="0"/>
        <w:kinsoku/>
        <w:wordWrap/>
        <w:overflowPunct/>
        <w:topLinePunct w:val="0"/>
        <w:autoSpaceDE/>
        <w:autoSpaceDN/>
        <w:bidi w:val="0"/>
        <w:adjustRightInd/>
        <w:snapToGrid/>
        <w:spacing w:line="400" w:lineRule="exact"/>
        <w:ind w:firstLine="723" w:firstLineChars="200"/>
        <w:jc w:val="center"/>
        <w:textAlignment w:val="auto"/>
        <w:rPr>
          <w:rFonts w:hint="eastAsia" w:ascii="仿宋" w:hAnsi="仿宋" w:eastAsia="仿宋" w:cs="仿宋"/>
          <w:b w:val="0"/>
          <w:bCs w:val="0"/>
          <w:color w:val="auto"/>
          <w:sz w:val="36"/>
          <w:szCs w:val="36"/>
          <w:highlight w:val="none"/>
          <w:lang w:eastAsia="zh-CN"/>
        </w:rPr>
      </w:pPr>
      <w:r>
        <w:rPr>
          <w:rFonts w:hint="eastAsia" w:ascii="仿宋" w:hAnsi="仿宋" w:eastAsia="仿宋" w:cs="仿宋"/>
          <w:b/>
          <w:bCs/>
          <w:color w:val="auto"/>
          <w:sz w:val="36"/>
          <w:szCs w:val="36"/>
          <w:highlight w:val="none"/>
          <w:lang w:val="en-US" w:eastAsia="zh-CN"/>
        </w:rPr>
        <w:t>包2:</w:t>
      </w:r>
      <w:r>
        <w:rPr>
          <w:rFonts w:hint="eastAsia" w:ascii="仿宋" w:hAnsi="仿宋" w:eastAsia="仿宋" w:cs="仿宋"/>
          <w:b/>
          <w:bCs/>
          <w:color w:val="auto"/>
          <w:sz w:val="36"/>
          <w:szCs w:val="36"/>
          <w:highlight w:val="none"/>
          <w:lang w:eastAsia="zh-CN"/>
        </w:rPr>
        <w:t>双人同步事件相关电位系统</w:t>
      </w:r>
    </w:p>
    <w:p w14:paraId="3DEAD23E">
      <w:pPr>
        <w:pStyle w:val="7"/>
        <w:bidi w:val="0"/>
        <w:jc w:val="both"/>
        <w:rPr>
          <w:rStyle w:val="5"/>
          <w:rFonts w:hint="eastAsia" w:eastAsia="宋体" w:cs="Times New Roman"/>
          <w:color w:val="auto"/>
          <w:highlight w:val="none"/>
          <w:lang w:val="en-US" w:eastAsia="zh-CN"/>
        </w:rPr>
      </w:pPr>
      <w:r>
        <w:rPr>
          <w:rStyle w:val="5"/>
          <w:rFonts w:hint="eastAsia" w:ascii="Times New Roman" w:hAnsi="Times New Roman" w:eastAsia="宋体" w:cs="Times New Roman"/>
          <w:color w:val="auto"/>
          <w:kern w:val="2"/>
          <w:sz w:val="21"/>
          <w:highlight w:val="none"/>
          <w:lang w:val="en-US" w:eastAsia="zh-CN"/>
        </w:rPr>
        <w:t>一、项目简述：</w:t>
      </w:r>
    </w:p>
    <w:p w14:paraId="2A8C399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为强化师范院校心理学科的实践教学与科研转化能力，为基础教育提供专业人才与技术支撑，拟采购双人同步事件相关电位系统是在传统脑电生理记录技术基础上的升级型研究设备。该设备通过双通道高精度同步采集模块，实现至少两名被试在自然互动情境中的脑电信号实时同步记录与分析，同步精度小于等于3毫秒级水平，从而能够准确捕捉互动过程中的神经活动变化。该系统不仅能够记录单个个体在认知加工过程中的脑电反应，还能够同时获取两名参与者之间的脑电动态变化，为研究社会互动情境下的神经活动提供重要技术手段。该设备在教育情境研究中具有重要应用价值，可用于探究师生互动、同伴合作学习以及人机协同学习等情境中的认知过程与神经机制。</w:t>
      </w:r>
    </w:p>
    <w:p w14:paraId="03BAEF2A">
      <w:pPr>
        <w:pStyle w:val="7"/>
        <w:bidi w:val="0"/>
        <w:jc w:val="left"/>
        <w:rPr>
          <w:rStyle w:val="5"/>
          <w:rFonts w:hint="eastAsia" w:eastAsia="宋体" w:cs="Times New Roman"/>
          <w:color w:val="auto"/>
          <w:highlight w:val="none"/>
        </w:rPr>
      </w:pPr>
      <w:r>
        <w:rPr>
          <w:rStyle w:val="5"/>
          <w:rFonts w:hint="eastAsia" w:ascii="Times New Roman" w:hAnsi="Times New Roman" w:eastAsia="宋体" w:cs="Times New Roman"/>
          <w:color w:val="auto"/>
          <w:kern w:val="2"/>
          <w:sz w:val="21"/>
          <w:highlight w:val="none"/>
        </w:rPr>
        <w:t>二、</w:t>
      </w:r>
      <w:r>
        <w:rPr>
          <w:rStyle w:val="5"/>
          <w:rFonts w:ascii="Times New Roman" w:hAnsi="Times New Roman" w:eastAsia="宋体" w:cs="Times New Roman"/>
          <w:color w:val="auto"/>
          <w:kern w:val="2"/>
          <w:sz w:val="21"/>
          <w:highlight w:val="none"/>
        </w:rPr>
        <w:t>技术参数及功能要求：</w:t>
      </w:r>
    </w:p>
    <w:p w14:paraId="363880E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1、系统具有听觉脑干诱发电位、脑电、事件相关电位、心电等采集分析功能；</w:t>
      </w:r>
    </w:p>
    <w:p w14:paraId="13E449B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▲2、脑电总导联数：单个控制盒最大支持不低于280导/单人；</w:t>
      </w:r>
    </w:p>
    <w:p w14:paraId="6F48F81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★3、系统支持同时采集2个被试的数据；每个被试以64通道脑电为最小单元，每个被试具有独立的一体化核磁兼容型放大器；放大器上的独立电极总插口数量≥120个；</w:t>
      </w:r>
    </w:p>
    <w:p w14:paraId="4E5DED2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★4、软件支持选择最大通道数≥512导/单人；</w:t>
      </w:r>
    </w:p>
    <w:p w14:paraId="7F78EAA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▲5、系统全通道采集时，软件可选择采样率，每通道采样率≥20,000 Hz；</w:t>
      </w:r>
    </w:p>
    <w:p w14:paraId="1D117E6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6、输入阻抗≥10 GOhms；</w:t>
      </w:r>
    </w:p>
    <w:p w14:paraId="0FBACA4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7、带宽范围≥0～3500 Hz；</w:t>
      </w:r>
    </w:p>
    <w:p w14:paraId="74671C1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8、A/D转换分辨率≥24Bit；</w:t>
      </w:r>
    </w:p>
    <w:p w14:paraId="761E01F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▲9、软件支持显示共模抑制比≥110dB；</w:t>
      </w:r>
    </w:p>
    <w:p w14:paraId="0198025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10、输入噪声≤0.5uV RMS；</w:t>
      </w:r>
    </w:p>
    <w:p w14:paraId="0E4BC73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11、系统最小信号分辨率可达到3nV/bit；</w:t>
      </w:r>
    </w:p>
    <w:p w14:paraId="33059A2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▲12、软件支持选择系统增益，系统增益≥2010；</w:t>
      </w:r>
    </w:p>
    <w:p w14:paraId="331A5A9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★13、单个控制盒可实现多人实时同步采集；采集软件界面支持同时显示8个放大器以及和实物对应的每一个电极导联和阻抗状态；</w:t>
      </w:r>
    </w:p>
    <w:p w14:paraId="1C9F637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14、刺激软件可自由编程，可实现声音、文字、文本、图片等不同类型的实验程序；</w:t>
      </w:r>
    </w:p>
    <w:p w14:paraId="3111A4B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15、系统支持连续或分段采集；</w:t>
      </w:r>
    </w:p>
    <w:p w14:paraId="10D3D12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16、在数据采集过程中所有事件均自动检测并记录，反应代码和刺激代码可以有效分离；</w:t>
      </w:r>
    </w:p>
    <w:p w14:paraId="5C0C1E3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17、支持根据实验和研究需求进行去除眼电干扰及伪迹剃除；</w:t>
      </w:r>
    </w:p>
    <w:p w14:paraId="57414AA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18、使用方可根据需要自定义ERP数据处理流程，包括：重参考选择、ERP波形画图、ERP峰值/潜伏期导出、ERP平均幅值导出、不同事件波形相加/减运算等，完成P1,P50,N170,P300.N400等经典ERP成分实验；</w:t>
      </w:r>
    </w:p>
    <w:p w14:paraId="39ACA66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19、软件支持实时的线性噪声衰减功能：非滤波、自适应噪声消除；</w:t>
      </w:r>
    </w:p>
    <w:p w14:paraId="537EE7D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20、提供P300、SSVEP、MI脑机接口实验范式；</w:t>
      </w:r>
    </w:p>
    <w:p w14:paraId="2F12BB9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21、电极帽采用标准的银/氯化银(Ag/AgC1)电极；</w:t>
      </w:r>
    </w:p>
    <w:p w14:paraId="716031B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22、电极帽的电极包裹在软橡胶内固定，使佩带者更舒适；</w:t>
      </w:r>
    </w:p>
    <w:p w14:paraId="2CB417E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23、电极帽的所有电极都很清楚地标记在帽子上，不是在放大器的接口上，使电极的定位快速简便；</w:t>
      </w:r>
    </w:p>
    <w:p w14:paraId="1584D48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▲24、导电介质为导电膏时，输入阻抗小于5KOhms；</w:t>
      </w:r>
    </w:p>
    <w:p w14:paraId="7D4A8A9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▲25、系统的硬件和采集、事件相关电位分析软件为同品牌，保证数据延迟在3ms以内。</w:t>
      </w:r>
    </w:p>
    <w:p w14:paraId="75B3444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p>
    <w:p w14:paraId="5FDC93FA">
      <w:pPr>
        <w:pStyle w:val="6"/>
        <w:keepNext/>
        <w:widowControl w:val="0"/>
        <w:numPr>
          <w:ilvl w:val="0"/>
          <w:numId w:val="0"/>
        </w:numPr>
        <w:spacing w:line="360" w:lineRule="auto"/>
        <w:jc w:val="center"/>
        <w:outlineLvl w:val="1"/>
        <w:rPr>
          <w:rStyle w:val="5"/>
          <w:rFonts w:hint="eastAsia" w:ascii="宋体" w:hAnsi="宋体" w:eastAsia="宋体" w:cs="Times New Roman"/>
          <w:b/>
          <w:bCs/>
          <w:color w:val="auto"/>
          <w:kern w:val="0"/>
          <w:sz w:val="28"/>
          <w:szCs w:val="28"/>
          <w:highlight w:val="none"/>
          <w:lang w:val="en-US" w:eastAsia="zh-CN" w:bidi="ar-SA"/>
        </w:rPr>
      </w:pPr>
      <w:r>
        <w:rPr>
          <w:rFonts w:hint="eastAsia" w:ascii="仿宋" w:hAnsi="仿宋" w:eastAsia="仿宋" w:cs="仿宋"/>
          <w:b/>
          <w:bCs/>
          <w:color w:val="auto"/>
          <w:sz w:val="28"/>
          <w:szCs w:val="28"/>
          <w:highlight w:val="none"/>
          <w:lang w:val="en-US" w:eastAsia="zh-CN"/>
        </w:rPr>
        <w:t>包3: 便携式眼动仪</w:t>
      </w:r>
    </w:p>
    <w:p w14:paraId="66FF0931">
      <w:pPr>
        <w:pStyle w:val="7"/>
        <w:bidi w:val="0"/>
        <w:jc w:val="both"/>
        <w:rPr>
          <w:rStyle w:val="5"/>
          <w:rFonts w:hint="eastAsia" w:eastAsia="宋体" w:cs="Times New Roman"/>
          <w:color w:val="auto"/>
          <w:highlight w:val="none"/>
          <w:lang w:val="en-US" w:eastAsia="zh-CN"/>
        </w:rPr>
      </w:pPr>
      <w:r>
        <w:rPr>
          <w:rStyle w:val="5"/>
          <w:rFonts w:hint="eastAsia" w:ascii="Times New Roman" w:hAnsi="Times New Roman" w:eastAsia="宋体" w:cs="Times New Roman"/>
          <w:color w:val="auto"/>
          <w:kern w:val="2"/>
          <w:sz w:val="21"/>
          <w:highlight w:val="none"/>
          <w:lang w:val="en-US" w:eastAsia="zh-CN"/>
        </w:rPr>
        <w:t>一、项目简述：</w:t>
      </w:r>
    </w:p>
    <w:p w14:paraId="7093421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以服务教育教学改革、强化科研创新、提升人才培养为核心，进一步提升教育情境下学习行为研究的技术水平，拟采购便携式眼动仪。该平台以先进的眼动追踪技术为核心，通过高精度视觉追踪与数据记录模块，对学习者在阅读、课堂学习及人机交互过程中的注视位置、注视时长和视觉路径等信息进行实时采集与分析，从而客观呈现学习过程中的注意分配与信息加工特点。该设备具有便携性强、部署灵活、环境适应性好等特点，可突破传统实验室研究的空间限制，在真实课堂、在线学习环境及教育实践场景中开展数据采集，为研究学习行为与教学过程提供可靠的数据支持。与传统行为观察方法相比，眼动技术能够更加直观地揭示学习者在信息获取与认知加工过程中的微观变化，为教育心理学、学习科学及教育技术等领域研究提供重要技术手段。在教育研究与教学实践方面，该设备可广泛应用于课堂教学行为分析、学习策略研究、阅读理解过程分析以及数字化学习环境评价等研究方向，为优化教学设计、改进教学策略及开展个性化学习干预提供科学依据。</w:t>
      </w:r>
    </w:p>
    <w:p w14:paraId="7BE3D4DA">
      <w:pPr>
        <w:pStyle w:val="7"/>
        <w:bidi w:val="0"/>
        <w:jc w:val="left"/>
        <w:rPr>
          <w:rStyle w:val="5"/>
          <w:rFonts w:hint="eastAsia" w:eastAsia="宋体" w:cs="Times New Roman"/>
          <w:color w:val="auto"/>
          <w:highlight w:val="none"/>
        </w:rPr>
      </w:pPr>
      <w:r>
        <w:rPr>
          <w:rStyle w:val="5"/>
          <w:rFonts w:hint="eastAsia" w:ascii="Times New Roman" w:hAnsi="Times New Roman" w:eastAsia="宋体" w:cs="Times New Roman"/>
          <w:color w:val="auto"/>
          <w:kern w:val="2"/>
          <w:sz w:val="21"/>
          <w:highlight w:val="none"/>
        </w:rPr>
        <w:t>二、</w:t>
      </w:r>
      <w:r>
        <w:rPr>
          <w:rStyle w:val="5"/>
          <w:rFonts w:ascii="Times New Roman" w:hAnsi="Times New Roman" w:eastAsia="宋体" w:cs="Times New Roman"/>
          <w:color w:val="auto"/>
          <w:kern w:val="2"/>
          <w:sz w:val="21"/>
          <w:highlight w:val="none"/>
        </w:rPr>
        <w:t>技术参数及功能要求：</w:t>
      </w:r>
    </w:p>
    <w:p w14:paraId="0022D9F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1、眼动追踪采集器及数据线缆技术参数：</w:t>
      </w:r>
    </w:p>
    <w:p w14:paraId="1DA777F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▲1.1、眼动追踪采集器: ≤22cm*12cm*6cm；</w:t>
      </w:r>
    </w:p>
    <w:p w14:paraId="61DA8DC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▲1.2、眼动追踪采集器: ≤1kg；</w:t>
      </w:r>
    </w:p>
    <w:p w14:paraId="2D8E020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▲1.3、采集主机一体式设计，眼动数据采集相机与红外光源封装在一体，摄像头不外露，整套系统能够装入登机箱便携，适合于实验室外开展眼动研究；</w:t>
      </w:r>
    </w:p>
    <w:p w14:paraId="7B163A1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★1.4、采样速率：≥1600Hz；</w:t>
      </w:r>
    </w:p>
    <w:p w14:paraId="0AF8B1E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1.5、分辨率：≤0.02°；</w:t>
      </w:r>
    </w:p>
    <w:p w14:paraId="0C346CB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1.6、精度：≤0.5°；</w:t>
      </w:r>
    </w:p>
    <w:p w14:paraId="5964070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1.7、实时追踪延时：≤4ms ；</w:t>
      </w:r>
    </w:p>
    <w:p w14:paraId="609C358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1.8、追踪模式：瞳孔+角膜反射；</w:t>
      </w:r>
    </w:p>
    <w:p w14:paraId="1D6C3C4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1.9、同一设备拥有桌面式、遥测式两种眼动追踪功能；</w:t>
      </w:r>
    </w:p>
    <w:p w14:paraId="4665BEF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1.10、可采用笔记本电池供电，整机可以便携；</w:t>
      </w:r>
    </w:p>
    <w:p w14:paraId="0B785BC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1.11、提供SDK程序接口；可与E-Prime，Matlab结合使用；</w:t>
      </w:r>
    </w:p>
    <w:p w14:paraId="242C4F1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1.12、主处理器技术参数：</w:t>
      </w:r>
    </w:p>
    <w:p w14:paraId="3527E65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1.12.1、眼动专用处理器，搭配基于Qnx眼动专用操作系统，非Windows、非MAC OS操作系统；</w:t>
      </w:r>
    </w:p>
    <w:p w14:paraId="1C34111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1.12.2、提供界面化操作方式，可方便修改眼动采集参数；</w:t>
      </w:r>
    </w:p>
    <w:p w14:paraId="6A9A236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1.12.3、含TCPIP网络接口、USB接口，可以同时连接眼动仪和被试机，控制眼动仪采集和被试机呈现刺激；</w:t>
      </w:r>
    </w:p>
    <w:p w14:paraId="5569E40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1.12.4、可控制采集器进行校准、验证、数据采集和事件标记；</w:t>
      </w:r>
    </w:p>
    <w:p w14:paraId="026E07C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1.12.5、可以实时进行眼动事件分析和发送，如注视，眼跳，眨眼；</w:t>
      </w:r>
    </w:p>
    <w:p w14:paraId="2433043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1.12.6、提供数据传输窗口，被试机可以通过网线方便获取该处理器上的数据；</w:t>
      </w:r>
    </w:p>
    <w:p w14:paraId="0D97E0C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1.12.7、提供多模态同步接口，可与第三方设备同步；</w:t>
      </w:r>
    </w:p>
    <w:p w14:paraId="2BC5250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2、提供与眼动仪硬件同品牌的实验设计软件技术参数：</w:t>
      </w:r>
    </w:p>
    <w:p w14:paraId="7C6D5C3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2.1、可视化实验流程界面；</w:t>
      </w:r>
    </w:p>
    <w:p w14:paraId="3A94B8C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2.2、刺激呈现支持文本、图片、音频、视频等多种组合方式以及简单图形的绘制；</w:t>
      </w:r>
    </w:p>
    <w:p w14:paraId="225FFFF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2.3、在阅读研究中可用单词、短语或字符自动划分兴趣区域；</w:t>
      </w:r>
    </w:p>
    <w:p w14:paraId="02AFC11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2.4、可实现注视相关刺激的控制（移动窗口和边界范式）；</w:t>
      </w:r>
    </w:p>
    <w:p w14:paraId="6CC4F40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2.5、可通过TTL与其他设备连接，例如，EEG/ERP/MRI/MEG；</w:t>
      </w:r>
    </w:p>
    <w:p w14:paraId="3012695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2.6、支持按键、触摸屏、录音反应以及反应盒；</w:t>
      </w:r>
    </w:p>
    <w:p w14:paraId="174EF4E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2.7、支持眼动控制（如边界、采样速率、扫视和注视控制控件）；</w:t>
      </w:r>
    </w:p>
    <w:p w14:paraId="46753C8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2.8、支持加载自定义变量和更新实验中的变量；</w:t>
      </w:r>
    </w:p>
    <w:p w14:paraId="2C8A38E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★2.9、支持多种操作系统，Windows和Mac；</w:t>
      </w:r>
    </w:p>
    <w:p w14:paraId="453E31C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▲2.10、提供实验设计软件终身免费升级服务；</w:t>
      </w:r>
    </w:p>
    <w:p w14:paraId="13CA07E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3、提供与眼动仪硬件同品牌的数据分析软件技术参数：</w:t>
      </w:r>
    </w:p>
    <w:p w14:paraId="29EF473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3.1、可以生成注视、扫视、眨眼、采样点、兴趣区等≥600种实验数据；</w:t>
      </w:r>
    </w:p>
    <w:p w14:paraId="48D58ABF">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3.2、以JPG或PNG或GIF图像文件格式、AVI或MP4或MOV视频格式输出空间和时间数据；</w:t>
      </w:r>
    </w:p>
    <w:p w14:paraId="40B178E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3.3、支持以视频格式回放被试眼动轨迹；</w:t>
      </w:r>
    </w:p>
    <w:p w14:paraId="07470AC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3.4、生成单个被试或多个被试注视的热点图；</w:t>
      </w:r>
    </w:p>
    <w:p w14:paraId="44B8106D">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3.5、可创建任意形状的静态和动态兴趣区；</w:t>
      </w:r>
    </w:p>
    <w:p w14:paraId="6B51C9E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3.6、可以通过刺激变化、TTL输入信号、按键或时间等实验相关信息划分兴趣时间段；</w:t>
      </w:r>
    </w:p>
    <w:p w14:paraId="2B91BD57">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3.7、显示、创建和编辑独立变量，并根据变量对数据进行重新分组；</w:t>
      </w:r>
    </w:p>
    <w:p w14:paraId="481039F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3.8、可同时处理多个被试的数据，并将眼动数据导出为Excel和txt格式；</w:t>
      </w:r>
    </w:p>
    <w:p w14:paraId="2161949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3.9、可兼容第三方软件，包括但不限于E-prime/Psychtoolbox/Presentation/</w:t>
      </w:r>
    </w:p>
    <w:p w14:paraId="6BA03B3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Python；</w:t>
      </w:r>
    </w:p>
    <w:p w14:paraId="7DEC2FC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★3.10、支持多种操作系统，Windows和Mac；</w:t>
      </w:r>
    </w:p>
    <w:p w14:paraId="6535D69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▲3.11、提供数据分析软件终身免费升级服务；</w:t>
      </w:r>
    </w:p>
    <w:p w14:paraId="54BE7AB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4、需提供制造商或总代商针对本项目的专项授权，以确保产品性能、质量以及售后服务。</w:t>
      </w:r>
    </w:p>
    <w:p w14:paraId="0060341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5、设备安装、调试、培训后，经过一定时期的试运行，设备的各项性能指标均能达到招标要求的，双方即按照院方规定签署设备验收文件，验收合格后所有投标设备及其附属易耗件（包括第三方外购设备及易耗件）</w:t>
      </w:r>
      <w:r>
        <w:rPr>
          <w:rStyle w:val="5"/>
          <w:rFonts w:hint="eastAsia" w:ascii="宋体" w:hAnsi="宋体" w:eastAsia="宋体" w:cs="宋体"/>
          <w:color w:val="auto"/>
          <w:kern w:val="2"/>
          <w:sz w:val="21"/>
          <w:szCs w:val="21"/>
          <w:highlight w:val="none"/>
          <w:lang w:val="en-US" w:eastAsia="zh-CN" w:bidi="ar-SA"/>
        </w:rPr>
        <w:t>保修期2年</w:t>
      </w:r>
      <w:r>
        <w:rPr>
          <w:rStyle w:val="5"/>
          <w:rFonts w:hint="eastAsia" w:ascii="宋体" w:hAnsi="宋体" w:eastAsia="宋体" w:cs="宋体"/>
          <w:color w:val="auto"/>
          <w:kern w:val="2"/>
          <w:sz w:val="21"/>
          <w:szCs w:val="21"/>
          <w:highlight w:val="none"/>
          <w:lang w:val="en-US" w:eastAsia="zh-CN" w:bidi="ar-SA"/>
        </w:rPr>
        <w:t>；终身维修；</w:t>
      </w:r>
    </w:p>
    <w:p w14:paraId="7578F02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6、投标结果公示期间，业主方有权要求预中标人提供样机到业主方进行产品演示。如拒绝演示或演示不符合招标文件要求的，业主方有权向采购单位反映并取消预中标人的中标资格，扣留封存设备，一切费用和责任风险由投标人承担；</w:t>
      </w:r>
    </w:p>
    <w:p w14:paraId="11BE2EB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7、配置要求：</w:t>
      </w:r>
    </w:p>
    <w:p w14:paraId="38C6AC2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7.1、眼动追踪采集器及数据线缆（含高速采集器、红外光源、桌面支架、主处理器）：1套；</w:t>
      </w:r>
    </w:p>
    <w:p w14:paraId="3AE185F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7.2、下巴托：1个；</w:t>
      </w:r>
    </w:p>
    <w:p w14:paraId="4F5EFCC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7.3、实验设计软件：1套；</w:t>
      </w:r>
    </w:p>
    <w:p w14:paraId="279FC895">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7.4、数据分析软件：1套；</w:t>
      </w:r>
    </w:p>
    <w:p w14:paraId="50A2BB6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7.5、反应盒：1个；</w:t>
      </w:r>
    </w:p>
    <w:p w14:paraId="39728C2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strike/>
          <w:dstrike w:val="0"/>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7.6、包装箱和拉杆包：1套；</w:t>
      </w:r>
    </w:p>
    <w:p w14:paraId="4378BDE7">
      <w:pPr>
        <w:pStyle w:val="6"/>
        <w:keepNext/>
        <w:widowControl w:val="0"/>
        <w:numPr>
          <w:ilvl w:val="0"/>
          <w:numId w:val="0"/>
        </w:numPr>
        <w:spacing w:line="360" w:lineRule="auto"/>
        <w:jc w:val="center"/>
        <w:outlineLvl w:val="1"/>
        <w:rPr>
          <w:rStyle w:val="5"/>
          <w:rFonts w:hint="default" w:ascii="宋体" w:hAnsi="宋体" w:eastAsia="宋体" w:cs="Times New Roman"/>
          <w:b/>
          <w:bCs/>
          <w:color w:val="auto"/>
          <w:kern w:val="0"/>
          <w:sz w:val="28"/>
          <w:szCs w:val="28"/>
          <w:highlight w:val="none"/>
          <w:lang w:val="en-US" w:eastAsia="zh-CN" w:bidi="ar-SA"/>
        </w:rPr>
      </w:pPr>
      <w:r>
        <w:rPr>
          <w:rStyle w:val="5"/>
          <w:rFonts w:hint="eastAsia" w:ascii="宋体" w:hAnsi="宋体" w:eastAsia="宋体" w:cs="Times New Roman"/>
          <w:b/>
          <w:bCs/>
          <w:color w:val="auto"/>
          <w:kern w:val="0"/>
          <w:sz w:val="28"/>
          <w:szCs w:val="28"/>
          <w:highlight w:val="none"/>
          <w:lang w:val="en-US" w:eastAsia="zh-CN" w:bidi="ar-SA"/>
        </w:rPr>
        <w:t>（以下商务条款适用于包1、包2、包3）</w:t>
      </w:r>
    </w:p>
    <w:p w14:paraId="111D9A50">
      <w:pPr>
        <w:pStyle w:val="6"/>
        <w:keepNext/>
        <w:widowControl w:val="0"/>
        <w:numPr>
          <w:ilvl w:val="0"/>
          <w:numId w:val="0"/>
        </w:numPr>
        <w:spacing w:line="360" w:lineRule="auto"/>
        <w:jc w:val="both"/>
        <w:outlineLvl w:val="1"/>
        <w:rPr>
          <w:rStyle w:val="5"/>
          <w:rFonts w:hint="eastAsia" w:ascii="宋体" w:hAnsi="宋体" w:eastAsia="宋体" w:cs="Times New Roman"/>
          <w:b/>
          <w:bCs/>
          <w:color w:val="auto"/>
          <w:kern w:val="0"/>
          <w:sz w:val="28"/>
          <w:szCs w:val="28"/>
          <w:highlight w:val="none"/>
          <w:lang w:val="en-US" w:eastAsia="zh-CN" w:bidi="ar-SA"/>
        </w:rPr>
      </w:pPr>
      <w:r>
        <w:rPr>
          <w:rStyle w:val="5"/>
          <w:rFonts w:hint="eastAsia" w:ascii="宋体" w:hAnsi="宋体" w:eastAsia="宋体" w:cs="Times New Roman"/>
          <w:b/>
          <w:bCs/>
          <w:color w:val="auto"/>
          <w:kern w:val="0"/>
          <w:sz w:val="28"/>
          <w:szCs w:val="28"/>
          <w:highlight w:val="none"/>
          <w:lang w:val="en-US" w:eastAsia="zh-CN" w:bidi="ar-SA"/>
        </w:rPr>
        <w:t>三、供货期限</w:t>
      </w:r>
      <w:bookmarkEnd w:id="8"/>
    </w:p>
    <w:p w14:paraId="0C38997B">
      <w:pPr>
        <w:pStyle w:val="6"/>
        <w:keepNext/>
        <w:widowControl w:val="0"/>
        <w:numPr>
          <w:ilvl w:val="0"/>
          <w:numId w:val="0"/>
        </w:numPr>
        <w:spacing w:line="360" w:lineRule="auto"/>
        <w:ind w:firstLine="420" w:firstLineChars="200"/>
        <w:jc w:val="both"/>
        <w:outlineLvl w:val="1"/>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国产设备在合同签定后 30 天内交货，并安装调试合格。原装进口设备在合同签定后</w:t>
      </w:r>
      <w:r>
        <w:rPr>
          <w:rStyle w:val="5"/>
          <w:rFonts w:hint="eastAsia" w:ascii="宋体" w:hAnsi="宋体" w:eastAsia="宋体" w:cs="宋体"/>
          <w:color w:val="auto"/>
          <w:kern w:val="2"/>
          <w:sz w:val="21"/>
          <w:szCs w:val="21"/>
          <w:highlight w:val="none"/>
          <w:lang w:val="en-US" w:eastAsia="zh-CN" w:bidi="ar-SA"/>
        </w:rPr>
        <w:t xml:space="preserve"> 60</w:t>
      </w:r>
      <w:r>
        <w:rPr>
          <w:rStyle w:val="5"/>
          <w:rFonts w:hint="eastAsia" w:ascii="宋体" w:hAnsi="宋体" w:eastAsia="宋体" w:cs="宋体"/>
          <w:color w:val="auto"/>
          <w:kern w:val="2"/>
          <w:sz w:val="21"/>
          <w:szCs w:val="21"/>
          <w:highlight w:val="none"/>
          <w:lang w:val="en-US" w:eastAsia="zh-CN" w:bidi="ar-SA"/>
        </w:rPr>
        <w:t xml:space="preserve"> 天内交货，并安装调试合格。</w:t>
      </w:r>
    </w:p>
    <w:p w14:paraId="2F3AD669">
      <w:pPr>
        <w:pStyle w:val="6"/>
        <w:keepNext/>
        <w:widowControl w:val="0"/>
        <w:numPr>
          <w:ilvl w:val="0"/>
          <w:numId w:val="0"/>
        </w:numPr>
        <w:spacing w:line="360" w:lineRule="auto"/>
        <w:jc w:val="both"/>
        <w:outlineLvl w:val="1"/>
        <w:rPr>
          <w:rStyle w:val="5"/>
          <w:rFonts w:hint="eastAsia" w:ascii="宋体" w:hAnsi="宋体" w:eastAsia="宋体" w:cs="Times New Roman"/>
          <w:b/>
          <w:bCs/>
          <w:color w:val="auto"/>
          <w:kern w:val="0"/>
          <w:sz w:val="28"/>
          <w:szCs w:val="28"/>
          <w:highlight w:val="none"/>
          <w:lang w:val="en-US" w:eastAsia="zh-CN" w:bidi="ar-SA"/>
        </w:rPr>
      </w:pPr>
      <w:r>
        <w:rPr>
          <w:rStyle w:val="5"/>
          <w:rFonts w:hint="eastAsia" w:ascii="宋体" w:hAnsi="宋体" w:eastAsia="宋体" w:cs="Times New Roman"/>
          <w:b/>
          <w:bCs/>
          <w:color w:val="auto"/>
          <w:kern w:val="0"/>
          <w:sz w:val="28"/>
          <w:szCs w:val="28"/>
          <w:highlight w:val="none"/>
          <w:lang w:val="en-US" w:eastAsia="zh-CN" w:bidi="ar-SA"/>
        </w:rPr>
        <w:t>四、</w:t>
      </w:r>
      <w:r>
        <w:rPr>
          <w:rStyle w:val="5"/>
          <w:rFonts w:hint="eastAsia" w:ascii="宋体" w:hAnsi="宋体" w:eastAsia="宋体" w:cs="宋体"/>
          <w:b/>
          <w:bCs/>
          <w:color w:val="auto"/>
          <w:kern w:val="2"/>
          <w:sz w:val="28"/>
          <w:szCs w:val="28"/>
          <w:highlight w:val="none"/>
          <w:lang w:val="en-US" w:eastAsia="zh-CN" w:bidi="ar-SA"/>
        </w:rPr>
        <w:t>付款方式</w:t>
      </w:r>
    </w:p>
    <w:p w14:paraId="021C3BB9">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bookmarkStart w:id="9" w:name="_Toc256000044"/>
      <w:r>
        <w:rPr>
          <w:rStyle w:val="5"/>
          <w:rFonts w:hint="eastAsia" w:ascii="宋体" w:hAnsi="宋体" w:eastAsia="宋体" w:cs="宋体"/>
          <w:color w:val="auto"/>
          <w:kern w:val="2"/>
          <w:sz w:val="21"/>
          <w:szCs w:val="21"/>
          <w:highlight w:val="none"/>
          <w:lang w:val="en-US" w:eastAsia="zh-CN" w:bidi="ar-SA"/>
        </w:rPr>
        <w:t>中标人在合同签订前需向采购人转账缴纳履约保证金或提供不少于24个月有效期的履约银行保函（合同总金额的 5%）。项目实施完毕验收合格后，支付 100%合同款。转账缴纳履约保证金的，项目运行满一年，经采购人确认无产品质量问题及售后服务问题，且履行了免费维保义务后，采购人向中标人退还本合同总金额3%的履约保证金（不支付利息）；项目运行满两年，经采购人确认无产品质量问题及售后服务问题，且履行了免费维保义务后，采购人向中标人退还剩余的全部履约保证金（不支付利息）。</w:t>
      </w:r>
    </w:p>
    <w:p w14:paraId="4FCE37C5">
      <w:pPr>
        <w:pStyle w:val="6"/>
        <w:keepNext/>
        <w:widowControl w:val="0"/>
        <w:numPr>
          <w:ilvl w:val="0"/>
          <w:numId w:val="0"/>
        </w:numPr>
        <w:spacing w:line="360" w:lineRule="auto"/>
        <w:jc w:val="both"/>
        <w:outlineLvl w:val="1"/>
        <w:rPr>
          <w:rStyle w:val="5"/>
          <w:rFonts w:hint="eastAsia" w:ascii="宋体" w:hAnsi="宋体" w:eastAsia="宋体" w:cs="宋体"/>
          <w:b/>
          <w:bCs/>
          <w:color w:val="auto"/>
          <w:kern w:val="2"/>
          <w:sz w:val="28"/>
          <w:szCs w:val="28"/>
          <w:highlight w:val="none"/>
          <w:lang w:val="en-US" w:eastAsia="zh-CN" w:bidi="ar-SA"/>
        </w:rPr>
      </w:pPr>
      <w:r>
        <w:rPr>
          <w:rStyle w:val="5"/>
          <w:rFonts w:hint="eastAsia" w:ascii="宋体" w:hAnsi="宋体" w:eastAsia="宋体" w:cs="宋体"/>
          <w:b/>
          <w:bCs/>
          <w:color w:val="auto"/>
          <w:kern w:val="2"/>
          <w:sz w:val="28"/>
          <w:szCs w:val="28"/>
          <w:highlight w:val="none"/>
          <w:lang w:val="en-US" w:eastAsia="zh-CN" w:bidi="ar-SA"/>
        </w:rPr>
        <w:t>五、履约验收要求</w:t>
      </w:r>
      <w:bookmarkEnd w:id="9"/>
    </w:p>
    <w:p w14:paraId="4C6D13F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bookmarkStart w:id="10" w:name="_Toc256000045"/>
      <w:r>
        <w:rPr>
          <w:rStyle w:val="5"/>
          <w:rFonts w:hint="eastAsia" w:ascii="宋体" w:hAnsi="宋体" w:eastAsia="宋体" w:cs="宋体"/>
          <w:color w:val="auto"/>
          <w:kern w:val="2"/>
          <w:sz w:val="21"/>
          <w:szCs w:val="21"/>
          <w:highlight w:val="none"/>
          <w:lang w:val="en-US" w:eastAsia="zh-CN" w:bidi="ar-SA"/>
        </w:rPr>
        <w:t>项目验收国家有强制性规定的，按国家规定执行，验收费用由中标人承担，验收报告作为申请付款的凭证之一。如验收过程中发生纠纷，将委托国家质量技术监督管理部门或其认定的机构进行检测鉴定。如为中标人原因，一切费用由中标人承担。否则，由采购人承担。</w:t>
      </w:r>
    </w:p>
    <w:p w14:paraId="1CDB223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5.1验收依据</w:t>
      </w:r>
    </w:p>
    <w:p w14:paraId="29313B5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本项目的最终验收，必须以招标文件第五章《采购需求》及中标人投标文件中承诺的技术规格、配置、性能参数及商务要求为唯一标准。</w:t>
      </w:r>
    </w:p>
    <w:p w14:paraId="1F7A2D9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5.2验收合格的定义</w:t>
      </w:r>
    </w:p>
    <w:p w14:paraId="17998AB2">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满足以下全部条件，方视为验收合格：</w:t>
      </w:r>
      <w:r>
        <w:rPr>
          <w:rStyle w:val="5"/>
          <w:rFonts w:hint="eastAsia" w:ascii="宋体" w:hAnsi="宋体" w:eastAsia="宋体" w:cs="宋体"/>
          <w:color w:val="auto"/>
          <w:kern w:val="2"/>
          <w:sz w:val="21"/>
          <w:szCs w:val="21"/>
          <w:highlight w:val="none"/>
          <w:lang w:val="en-US" w:eastAsia="zh-CN" w:bidi="ar-SA"/>
        </w:rPr>
        <w:br w:type="textWrapping"/>
      </w:r>
      <w:r>
        <w:rPr>
          <w:rStyle w:val="5"/>
          <w:rFonts w:hint="eastAsia" w:ascii="宋体" w:hAnsi="宋体" w:eastAsia="宋体" w:cs="宋体"/>
          <w:color w:val="auto"/>
          <w:kern w:val="2"/>
          <w:sz w:val="21"/>
          <w:szCs w:val="21"/>
          <w:highlight w:val="none"/>
          <w:lang w:val="en-US" w:eastAsia="zh-CN" w:bidi="ar-SA"/>
        </w:rPr>
        <w:t xml:space="preserve">  （1）货物齐备：合同清单内所有产品（含附件、资料）已交付。</w:t>
      </w:r>
      <w:r>
        <w:rPr>
          <w:rStyle w:val="5"/>
          <w:rFonts w:hint="eastAsia" w:ascii="宋体" w:hAnsi="宋体" w:eastAsia="宋体" w:cs="宋体"/>
          <w:color w:val="auto"/>
          <w:kern w:val="2"/>
          <w:sz w:val="21"/>
          <w:szCs w:val="21"/>
          <w:highlight w:val="none"/>
          <w:lang w:val="en-US" w:eastAsia="zh-CN" w:bidi="ar-SA"/>
        </w:rPr>
        <w:br w:type="textWrapping"/>
      </w:r>
      <w:r>
        <w:rPr>
          <w:rStyle w:val="5"/>
          <w:rFonts w:hint="eastAsia" w:ascii="宋体" w:hAnsi="宋体" w:eastAsia="宋体" w:cs="宋体"/>
          <w:color w:val="auto"/>
          <w:kern w:val="2"/>
          <w:sz w:val="21"/>
          <w:szCs w:val="21"/>
          <w:highlight w:val="none"/>
          <w:lang w:val="en-US" w:eastAsia="zh-CN" w:bidi="ar-SA"/>
        </w:rPr>
        <w:t xml:space="preserve">  （2）安装就绪：所有设备安装调试完毕，可正常联动运行。</w:t>
      </w:r>
      <w:r>
        <w:rPr>
          <w:rStyle w:val="5"/>
          <w:rFonts w:hint="eastAsia" w:ascii="宋体" w:hAnsi="宋体" w:eastAsia="宋体" w:cs="宋体"/>
          <w:color w:val="auto"/>
          <w:kern w:val="2"/>
          <w:sz w:val="21"/>
          <w:szCs w:val="21"/>
          <w:highlight w:val="none"/>
          <w:lang w:val="en-US" w:eastAsia="zh-CN" w:bidi="ar-SA"/>
        </w:rPr>
        <w:br w:type="textWrapping"/>
      </w:r>
      <w:r>
        <w:rPr>
          <w:rStyle w:val="5"/>
          <w:rFonts w:hint="eastAsia" w:ascii="宋体" w:hAnsi="宋体" w:eastAsia="宋体" w:cs="宋体"/>
          <w:color w:val="auto"/>
          <w:kern w:val="2"/>
          <w:sz w:val="21"/>
          <w:szCs w:val="21"/>
          <w:highlight w:val="none"/>
          <w:lang w:val="en-US" w:eastAsia="zh-CN" w:bidi="ar-SA"/>
        </w:rPr>
        <w:t xml:space="preserve">  （3）全部响应：所提供的货物与服务，经测试验证，完全满足招标文件及投标文件中约定的全部技术要求与商务要求，无任何负偏离。</w:t>
      </w:r>
      <w:r>
        <w:rPr>
          <w:rStyle w:val="5"/>
          <w:rFonts w:hint="eastAsia" w:ascii="宋体" w:hAnsi="宋体" w:eastAsia="宋体" w:cs="宋体"/>
          <w:color w:val="auto"/>
          <w:kern w:val="2"/>
          <w:sz w:val="21"/>
          <w:szCs w:val="21"/>
          <w:highlight w:val="none"/>
          <w:lang w:val="en-US" w:eastAsia="zh-CN" w:bidi="ar-SA"/>
        </w:rPr>
        <w:br w:type="textWrapping"/>
      </w:r>
      <w:r>
        <w:rPr>
          <w:rStyle w:val="5"/>
          <w:rFonts w:hint="eastAsia" w:ascii="宋体" w:hAnsi="宋体" w:eastAsia="宋体" w:cs="宋体"/>
          <w:color w:val="auto"/>
          <w:kern w:val="2"/>
          <w:sz w:val="21"/>
          <w:szCs w:val="21"/>
          <w:highlight w:val="none"/>
          <w:lang w:val="en-US" w:eastAsia="zh-CN" w:bidi="ar-SA"/>
        </w:rPr>
        <w:t xml:space="preserve">  （4）文件齐全：已提供完整的技术文档（如操作手册、合格证等）及培训。</w:t>
      </w:r>
    </w:p>
    <w:p w14:paraId="455EAD7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5.3 验收程序与结果处理</w:t>
      </w:r>
    </w:p>
    <w:p w14:paraId="2DB4007A">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（1）供应商完成安装调试后，应书面提请采购人组织验收。</w:t>
      </w:r>
    </w:p>
    <w:p w14:paraId="12B56BD1">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（2）验收由采购人依据第1条、第2条组织进行。对于招标文件中标注“★”的关键条款，必须进行逐项验证。</w:t>
      </w:r>
    </w:p>
    <w:p w14:paraId="6681135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 xml:space="preserve">（3）验收不合格的，供应商须在采购人要求的期限内完成整改。若供应商交付的货物或服务经两次整改仍不符合验收标准，采购人有权根据合同约定追究其违约责任，包括但不限于要求退货、退款或扣除相应款项。 </w:t>
      </w:r>
    </w:p>
    <w:p w14:paraId="59620FA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p>
    <w:p w14:paraId="11C98B48">
      <w:pPr>
        <w:pStyle w:val="6"/>
        <w:keepNext/>
        <w:widowControl w:val="0"/>
        <w:numPr>
          <w:ilvl w:val="0"/>
          <w:numId w:val="0"/>
        </w:numPr>
        <w:spacing w:line="360" w:lineRule="auto"/>
        <w:jc w:val="both"/>
        <w:outlineLvl w:val="1"/>
        <w:rPr>
          <w:rStyle w:val="5"/>
          <w:rFonts w:hint="eastAsia" w:ascii="宋体" w:hAnsi="宋体" w:eastAsia="宋体" w:cs="宋体"/>
          <w:b/>
          <w:bCs/>
          <w:color w:val="auto"/>
          <w:kern w:val="2"/>
          <w:sz w:val="28"/>
          <w:szCs w:val="28"/>
          <w:highlight w:val="none"/>
          <w:lang w:val="en-US" w:eastAsia="zh-CN" w:bidi="ar-SA"/>
        </w:rPr>
      </w:pPr>
      <w:r>
        <w:rPr>
          <w:rStyle w:val="5"/>
          <w:rFonts w:hint="eastAsia" w:ascii="宋体" w:hAnsi="宋体" w:eastAsia="宋体" w:cs="宋体"/>
          <w:b/>
          <w:bCs/>
          <w:color w:val="auto"/>
          <w:kern w:val="2"/>
          <w:sz w:val="28"/>
          <w:szCs w:val="28"/>
          <w:highlight w:val="none"/>
          <w:lang w:val="en-US" w:eastAsia="zh-CN" w:bidi="ar-SA"/>
        </w:rPr>
        <w:t>六、售后服务</w:t>
      </w:r>
      <w:bookmarkEnd w:id="10"/>
    </w:p>
    <w:p w14:paraId="2E7496B6">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bookmarkStart w:id="11" w:name="OLE_LINK7"/>
      <w:bookmarkStart w:id="12" w:name="OLE_LINK4"/>
      <w:bookmarkStart w:id="13" w:name="_Toc256000046"/>
      <w:r>
        <w:rPr>
          <w:rStyle w:val="5"/>
          <w:rFonts w:hint="eastAsia" w:ascii="宋体" w:hAnsi="宋体" w:eastAsia="宋体" w:cs="宋体"/>
          <w:color w:val="auto"/>
          <w:kern w:val="2"/>
          <w:sz w:val="21"/>
          <w:szCs w:val="21"/>
          <w:highlight w:val="none"/>
          <w:lang w:val="en-US" w:eastAsia="zh-CN" w:bidi="ar-SA"/>
        </w:rPr>
        <w:t>1、故障应急响应方案:提供7x24小时的故障服务受理包含法定节假日。响应时间:紧急情况市内1小时赶到，一般情况保证2小时内到达客户处进行维修解决;设备故障于8小时内修复或更换设备;备件服务:遇到重大故障，提供系统所需更换的任何备件。</w:t>
      </w:r>
    </w:p>
    <w:p w14:paraId="1D87B118">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2、在质保期内对产品质量实行三包，因设备制造质量问题而引起的故障，及时更换并保证能及时正常使用，承担由此引起的一切费用。</w:t>
      </w:r>
    </w:p>
    <w:p w14:paraId="0586626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3、质保期内所有设备提供免费零件及服务，并及时有效。保修期过后实行终身维修(只收材料费)。在使用寿命期内，应保证对设备的零件、易损件的供应。</w:t>
      </w:r>
    </w:p>
    <w:p w14:paraId="6A2469E0">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4、应能保证设备正常使用所需的备件和具备相关技术保障机制，并填写好售后服务机构的具体维修地址、负责人或联系方式，以及应承担的维修责任等详细资料。</w:t>
      </w:r>
    </w:p>
    <w:p w14:paraId="06E6058E">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5、应配备专业技术人员，培训期间发放各类设备使用说明书、培训资料等;提供相关培训。</w:t>
      </w:r>
    </w:p>
    <w:p w14:paraId="50BA4004">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eastAsia" w:ascii="宋体" w:hAnsi="宋体" w:eastAsia="宋体" w:cs="宋体"/>
          <w:color w:val="auto"/>
          <w:kern w:val="2"/>
          <w:sz w:val="21"/>
          <w:szCs w:val="21"/>
          <w:highlight w:val="none"/>
          <w:lang w:val="en-US" w:eastAsia="zh-CN" w:bidi="ar-SA"/>
        </w:rPr>
      </w:pPr>
      <w:r>
        <w:rPr>
          <w:rStyle w:val="5"/>
          <w:rFonts w:hint="eastAsia" w:ascii="宋体" w:hAnsi="宋体" w:eastAsia="宋体" w:cs="宋体"/>
          <w:color w:val="auto"/>
          <w:kern w:val="2"/>
          <w:sz w:val="21"/>
          <w:szCs w:val="21"/>
          <w:highlight w:val="none"/>
          <w:lang w:val="en-US" w:eastAsia="zh-CN" w:bidi="ar-SA"/>
        </w:rPr>
        <w:t>上门免费培训至少2名操作人员:其培训内容指的是设备(软件)的基本原理、安装、调试、操作使用和日常保养维修等。</w:t>
      </w:r>
    </w:p>
    <w:p w14:paraId="75B982CE">
      <w:pPr>
        <w:pStyle w:val="6"/>
        <w:keepNext/>
        <w:widowControl w:val="0"/>
        <w:spacing w:line="360" w:lineRule="auto"/>
        <w:jc w:val="both"/>
        <w:outlineLvl w:val="1"/>
        <w:rPr>
          <w:rStyle w:val="5"/>
          <w:rFonts w:hint="eastAsia" w:ascii="宋体" w:hAnsi="宋体" w:eastAsia="宋体" w:cs="宋体"/>
          <w:b/>
          <w:bCs/>
          <w:color w:val="auto"/>
          <w:kern w:val="0"/>
          <w:sz w:val="28"/>
          <w:szCs w:val="28"/>
          <w:highlight w:val="none"/>
          <w:lang w:val="en-US" w:eastAsia="zh-CN" w:bidi="ar-SA"/>
        </w:rPr>
      </w:pPr>
      <w:r>
        <w:rPr>
          <w:rStyle w:val="5"/>
          <w:rFonts w:hint="eastAsia" w:ascii="宋体" w:hAnsi="宋体" w:eastAsia="宋体" w:cs="宋体"/>
          <w:b/>
          <w:bCs/>
          <w:color w:val="auto"/>
          <w:kern w:val="0"/>
          <w:sz w:val="28"/>
          <w:szCs w:val="28"/>
          <w:highlight w:val="none"/>
          <w:lang w:val="en-US" w:eastAsia="zh-CN" w:bidi="ar-SA"/>
        </w:rPr>
        <w:t>七、质</w:t>
      </w:r>
      <w:bookmarkEnd w:id="11"/>
      <w:r>
        <w:rPr>
          <w:rStyle w:val="5"/>
          <w:rFonts w:hint="eastAsia" w:ascii="宋体" w:hAnsi="宋体" w:eastAsia="宋体" w:cs="宋体"/>
          <w:b/>
          <w:bCs/>
          <w:color w:val="auto"/>
          <w:kern w:val="0"/>
          <w:sz w:val="28"/>
          <w:szCs w:val="28"/>
          <w:highlight w:val="none"/>
          <w:lang w:val="en-US" w:eastAsia="zh-CN" w:bidi="ar-SA"/>
        </w:rPr>
        <w:t>保期</w:t>
      </w:r>
      <w:bookmarkEnd w:id="12"/>
      <w:bookmarkEnd w:id="13"/>
    </w:p>
    <w:p w14:paraId="339ED5AB">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default" w:ascii="宋体" w:hAnsi="宋体" w:eastAsia="宋体" w:cs="宋体"/>
          <w:color w:val="auto"/>
          <w:kern w:val="2"/>
          <w:sz w:val="21"/>
          <w:szCs w:val="21"/>
          <w:highlight w:val="none"/>
          <w:lang w:val="en-US" w:eastAsia="zh-CN" w:bidi="ar-SA"/>
        </w:rPr>
      </w:pPr>
      <w:bookmarkStart w:id="14" w:name="_Toc256000047"/>
      <w:r>
        <w:rPr>
          <w:rStyle w:val="5"/>
          <w:rFonts w:hint="eastAsia" w:ascii="宋体" w:hAnsi="宋体" w:eastAsia="宋体" w:cs="宋体"/>
          <w:color w:val="auto"/>
          <w:kern w:val="2"/>
          <w:sz w:val="21"/>
          <w:szCs w:val="21"/>
          <w:highlight w:val="none"/>
          <w:lang w:val="en-US" w:eastAsia="zh-CN" w:bidi="ar-SA"/>
        </w:rPr>
        <w:t>1）</w:t>
      </w:r>
      <w:r>
        <w:rPr>
          <w:rStyle w:val="5"/>
          <w:rFonts w:hint="default" w:ascii="宋体" w:hAnsi="宋体" w:eastAsia="宋体" w:cs="宋体"/>
          <w:color w:val="auto"/>
          <w:kern w:val="2"/>
          <w:sz w:val="21"/>
          <w:szCs w:val="21"/>
          <w:highlight w:val="none"/>
          <w:lang w:val="en-US" w:eastAsia="zh-CN" w:bidi="ar-SA"/>
        </w:rPr>
        <w:t>中标供应商提供的产品应是原装正品，符合国家质量检测标准，具有出厂合格证或国家鉴定合格证。</w:t>
      </w:r>
    </w:p>
    <w:p w14:paraId="23F6B423">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default" w:ascii="宋体" w:hAnsi="宋体" w:eastAsia="宋体" w:cs="宋体"/>
          <w:color w:val="auto"/>
          <w:kern w:val="2"/>
          <w:sz w:val="21"/>
          <w:szCs w:val="21"/>
          <w:highlight w:val="none"/>
          <w:lang w:val="en-US" w:eastAsia="zh-CN" w:bidi="ar-SA"/>
        </w:rPr>
      </w:pPr>
      <w:r>
        <w:rPr>
          <w:rStyle w:val="5"/>
          <w:rFonts w:hint="default" w:ascii="宋体" w:hAnsi="宋体" w:eastAsia="宋体" w:cs="宋体"/>
          <w:color w:val="auto"/>
          <w:kern w:val="2"/>
          <w:sz w:val="21"/>
          <w:szCs w:val="21"/>
          <w:highlight w:val="none"/>
          <w:lang w:val="en-US" w:eastAsia="zh-CN" w:bidi="ar-SA"/>
        </w:rPr>
        <w:t>2</w:t>
      </w:r>
      <w:r>
        <w:rPr>
          <w:rStyle w:val="5"/>
          <w:rFonts w:hint="eastAsia" w:ascii="宋体" w:hAnsi="宋体" w:eastAsia="宋体" w:cs="宋体"/>
          <w:color w:val="auto"/>
          <w:kern w:val="2"/>
          <w:sz w:val="21"/>
          <w:szCs w:val="21"/>
          <w:highlight w:val="none"/>
          <w:lang w:val="en-US" w:eastAsia="zh-CN" w:bidi="ar-SA"/>
        </w:rPr>
        <w:t>）</w:t>
      </w:r>
      <w:r>
        <w:rPr>
          <w:rStyle w:val="5"/>
          <w:rFonts w:hint="default" w:ascii="宋体" w:hAnsi="宋体" w:eastAsia="宋体" w:cs="宋体"/>
          <w:color w:val="auto"/>
          <w:kern w:val="2"/>
          <w:sz w:val="21"/>
          <w:szCs w:val="21"/>
          <w:highlight w:val="none"/>
          <w:lang w:val="en-US" w:eastAsia="zh-CN" w:bidi="ar-SA"/>
        </w:rPr>
        <w:t>整体项目质保期要求</w:t>
      </w:r>
      <w:r>
        <w:rPr>
          <w:rStyle w:val="5"/>
          <w:rFonts w:hint="eastAsia" w:ascii="宋体" w:hAnsi="宋体" w:eastAsia="宋体" w:cs="宋体"/>
          <w:color w:val="auto"/>
          <w:kern w:val="2"/>
          <w:sz w:val="21"/>
          <w:szCs w:val="21"/>
          <w:highlight w:val="none"/>
          <w:lang w:val="en-US" w:eastAsia="zh-CN" w:bidi="ar-SA"/>
        </w:rPr>
        <w:t>两</w:t>
      </w:r>
      <w:r>
        <w:rPr>
          <w:rStyle w:val="5"/>
          <w:rFonts w:hint="default" w:ascii="宋体" w:hAnsi="宋体" w:eastAsia="宋体" w:cs="宋体"/>
          <w:color w:val="auto"/>
          <w:kern w:val="2"/>
          <w:sz w:val="21"/>
          <w:szCs w:val="21"/>
          <w:highlight w:val="none"/>
          <w:lang w:val="en-US" w:eastAsia="zh-CN" w:bidi="ar-SA"/>
        </w:rPr>
        <w:t>年，软件授权终身使用。超出厂家正常保修范围的，中标供应商需向厂家购买；未在投标报价表中单列其费用的，视为包含在投标总价中。</w:t>
      </w:r>
    </w:p>
    <w:p w14:paraId="7961623C">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both"/>
        <w:textAlignment w:val="auto"/>
        <w:rPr>
          <w:rStyle w:val="5"/>
          <w:rFonts w:hint="default" w:ascii="宋体" w:hAnsi="宋体" w:eastAsia="宋体" w:cs="宋体"/>
          <w:color w:val="auto"/>
          <w:kern w:val="2"/>
          <w:sz w:val="21"/>
          <w:szCs w:val="21"/>
          <w:highlight w:val="none"/>
          <w:lang w:val="en-US" w:eastAsia="zh-CN" w:bidi="ar-SA"/>
        </w:rPr>
      </w:pPr>
      <w:r>
        <w:rPr>
          <w:rStyle w:val="5"/>
          <w:rFonts w:hint="default" w:ascii="宋体" w:hAnsi="宋体" w:eastAsia="宋体" w:cs="宋体"/>
          <w:color w:val="auto"/>
          <w:kern w:val="2"/>
          <w:sz w:val="21"/>
          <w:szCs w:val="21"/>
          <w:highlight w:val="none"/>
          <w:lang w:val="en-US" w:eastAsia="zh-CN" w:bidi="ar-SA"/>
        </w:rPr>
        <w:t>3</w:t>
      </w:r>
      <w:r>
        <w:rPr>
          <w:rStyle w:val="5"/>
          <w:rFonts w:hint="eastAsia" w:ascii="宋体" w:hAnsi="宋体" w:eastAsia="宋体" w:cs="宋体"/>
          <w:color w:val="auto"/>
          <w:kern w:val="2"/>
          <w:sz w:val="21"/>
          <w:szCs w:val="21"/>
          <w:highlight w:val="none"/>
          <w:lang w:val="en-US" w:eastAsia="zh-CN" w:bidi="ar-SA"/>
        </w:rPr>
        <w:t>）</w:t>
      </w:r>
      <w:r>
        <w:rPr>
          <w:rStyle w:val="5"/>
          <w:rFonts w:hint="default" w:ascii="宋体" w:hAnsi="宋体" w:eastAsia="宋体" w:cs="宋体"/>
          <w:color w:val="auto"/>
          <w:kern w:val="2"/>
          <w:sz w:val="21"/>
          <w:szCs w:val="21"/>
          <w:highlight w:val="none"/>
          <w:lang w:val="en-US" w:eastAsia="zh-CN" w:bidi="ar-SA"/>
        </w:rPr>
        <w:t>质保期从验收合格后开始计算。质保期内所有产品维护等要求上门服务，终身技术支持维护。</w:t>
      </w:r>
    </w:p>
    <w:p w14:paraId="4D945A6D">
      <w:pPr>
        <w:pStyle w:val="6"/>
        <w:spacing w:line="360" w:lineRule="auto"/>
        <w:rPr>
          <w:rStyle w:val="5"/>
          <w:rFonts w:ascii="宋体" w:hAnsi="宋体" w:eastAsia="宋体" w:cs="Times New Roman"/>
          <w:b/>
          <w:bCs/>
          <w:color w:val="auto"/>
          <w:kern w:val="0"/>
          <w:sz w:val="28"/>
          <w:szCs w:val="28"/>
          <w:highlight w:val="none"/>
        </w:rPr>
      </w:pPr>
      <w:r>
        <w:rPr>
          <w:rStyle w:val="5"/>
          <w:rFonts w:hint="eastAsia" w:ascii="宋体" w:hAnsi="宋体" w:eastAsia="宋体" w:cs="Times New Roman"/>
          <w:b/>
          <w:bCs/>
          <w:color w:val="auto"/>
          <w:kern w:val="0"/>
          <w:sz w:val="28"/>
          <w:szCs w:val="28"/>
          <w:highlight w:val="none"/>
        </w:rPr>
        <w:t>八、</w:t>
      </w:r>
      <w:bookmarkEnd w:id="14"/>
      <w:r>
        <w:rPr>
          <w:rStyle w:val="5"/>
          <w:rFonts w:hint="eastAsia" w:ascii="宋体" w:hAnsi="宋体" w:eastAsia="宋体" w:cs="Times New Roman"/>
          <w:b/>
          <w:bCs/>
          <w:color w:val="auto"/>
          <w:kern w:val="0"/>
          <w:sz w:val="28"/>
          <w:szCs w:val="28"/>
          <w:highlight w:val="none"/>
        </w:rPr>
        <w:t>其他内容</w:t>
      </w:r>
    </w:p>
    <w:p w14:paraId="6F595111">
      <w:pPr>
        <w:pStyle w:val="6"/>
        <w:widowControl w:val="0"/>
        <w:adjustRightInd w:val="0"/>
        <w:snapToGrid w:val="0"/>
        <w:spacing w:line="360" w:lineRule="auto"/>
        <w:ind w:firstLine="442" w:firstLineChars="200"/>
        <w:jc w:val="left"/>
        <w:rPr>
          <w:rStyle w:val="5"/>
          <w:rFonts w:hint="eastAsia" w:ascii="宋体" w:hAnsi="宋体" w:eastAsia="宋体" w:cs="宋体"/>
          <w:b/>
          <w:bCs/>
          <w:color w:val="auto"/>
          <w:kern w:val="2"/>
          <w:sz w:val="22"/>
          <w:szCs w:val="22"/>
          <w:highlight w:val="none"/>
          <w:lang w:val="en-US" w:eastAsia="zh-CN" w:bidi="ar-SA"/>
        </w:rPr>
      </w:pPr>
      <w:r>
        <w:rPr>
          <w:rStyle w:val="5"/>
          <w:rFonts w:hint="eastAsia" w:ascii="宋体" w:hAnsi="宋体" w:eastAsia="宋体" w:cs="宋体"/>
          <w:b/>
          <w:bCs/>
          <w:color w:val="auto"/>
          <w:kern w:val="2"/>
          <w:sz w:val="22"/>
          <w:szCs w:val="22"/>
          <w:highlight w:val="none"/>
          <w:lang w:val="en-US" w:eastAsia="zh-CN" w:bidi="ar-SA"/>
        </w:rPr>
        <w:t>1.所有产品必须符合相关技术、安全的国家现行标准。</w:t>
      </w:r>
    </w:p>
    <w:p w14:paraId="2F520405">
      <w:pPr>
        <w:pStyle w:val="6"/>
        <w:widowControl w:val="0"/>
        <w:adjustRightInd w:val="0"/>
        <w:snapToGrid w:val="0"/>
        <w:spacing w:line="360" w:lineRule="auto"/>
        <w:ind w:firstLine="442" w:firstLineChars="200"/>
        <w:jc w:val="left"/>
        <w:rPr>
          <w:rStyle w:val="5"/>
          <w:rFonts w:hint="eastAsia" w:ascii="宋体" w:hAnsi="宋体" w:eastAsia="宋体" w:cs="宋体"/>
          <w:b/>
          <w:bCs/>
          <w:color w:val="auto"/>
          <w:kern w:val="2"/>
          <w:sz w:val="22"/>
          <w:szCs w:val="22"/>
          <w:highlight w:val="none"/>
          <w:lang w:val="en-US" w:eastAsia="zh-CN" w:bidi="ar-SA"/>
        </w:rPr>
      </w:pPr>
      <w:r>
        <w:rPr>
          <w:rStyle w:val="5"/>
          <w:rFonts w:hint="eastAsia" w:ascii="宋体" w:hAnsi="宋体" w:eastAsia="宋体" w:cs="宋体"/>
          <w:b/>
          <w:bCs/>
          <w:color w:val="auto"/>
          <w:kern w:val="2"/>
          <w:sz w:val="22"/>
          <w:szCs w:val="22"/>
          <w:highlight w:val="none"/>
          <w:lang w:val="en-US" w:eastAsia="zh-CN" w:bidi="ar-SA"/>
        </w:rPr>
        <w:t>2.服务标准</w:t>
      </w:r>
    </w:p>
    <w:p w14:paraId="6CD29096">
      <w:pPr>
        <w:pStyle w:val="6"/>
        <w:widowControl w:val="0"/>
        <w:adjustRightInd w:val="0"/>
        <w:snapToGrid w:val="0"/>
        <w:spacing w:line="360" w:lineRule="auto"/>
        <w:ind w:firstLine="442" w:firstLineChars="200"/>
        <w:jc w:val="left"/>
        <w:rPr>
          <w:rStyle w:val="5"/>
          <w:rFonts w:hint="eastAsia" w:ascii="宋体" w:hAnsi="宋体" w:eastAsia="宋体" w:cs="宋体"/>
          <w:b/>
          <w:bCs/>
          <w:color w:val="auto"/>
          <w:kern w:val="2"/>
          <w:sz w:val="22"/>
          <w:szCs w:val="22"/>
          <w:highlight w:val="none"/>
          <w:lang w:val="en-US" w:eastAsia="zh-CN" w:bidi="ar-SA"/>
        </w:rPr>
      </w:pPr>
      <w:r>
        <w:rPr>
          <w:rStyle w:val="5"/>
          <w:rFonts w:hint="eastAsia" w:ascii="宋体" w:hAnsi="宋体" w:eastAsia="宋体" w:cs="宋体"/>
          <w:b/>
          <w:bCs/>
          <w:color w:val="auto"/>
          <w:kern w:val="2"/>
          <w:sz w:val="22"/>
          <w:szCs w:val="22"/>
          <w:highlight w:val="none"/>
          <w:lang w:val="en-US" w:eastAsia="zh-CN" w:bidi="ar-SA"/>
        </w:rPr>
        <w:t>2.1产品运输、保险及保管</w:t>
      </w:r>
    </w:p>
    <w:p w14:paraId="172697B4">
      <w:pPr>
        <w:pStyle w:val="6"/>
        <w:widowControl w:val="0"/>
        <w:adjustRightInd w:val="0"/>
        <w:snapToGrid w:val="0"/>
        <w:spacing w:line="360" w:lineRule="auto"/>
        <w:ind w:firstLine="440" w:firstLineChars="200"/>
        <w:jc w:val="left"/>
        <w:rPr>
          <w:rStyle w:val="5"/>
          <w:rFonts w:hint="eastAsia" w:ascii="宋体" w:hAnsi="宋体" w:eastAsia="宋体" w:cs="宋体"/>
          <w:color w:val="auto"/>
          <w:kern w:val="2"/>
          <w:sz w:val="22"/>
          <w:szCs w:val="22"/>
          <w:highlight w:val="none"/>
          <w:lang w:val="en-US" w:eastAsia="zh-CN" w:bidi="ar-SA"/>
        </w:rPr>
      </w:pPr>
      <w:r>
        <w:rPr>
          <w:rStyle w:val="5"/>
          <w:rFonts w:hint="eastAsia" w:ascii="宋体" w:hAnsi="宋体" w:eastAsia="宋体" w:cs="宋体"/>
          <w:color w:val="auto"/>
          <w:kern w:val="2"/>
          <w:sz w:val="22"/>
          <w:szCs w:val="22"/>
          <w:highlight w:val="none"/>
          <w:lang w:val="en-US" w:eastAsia="zh-CN" w:bidi="ar-SA"/>
        </w:rPr>
        <w:t>2.1.1</w:t>
      </w:r>
      <w:r>
        <w:rPr>
          <w:rStyle w:val="5"/>
          <w:rFonts w:hint="eastAsia" w:ascii="宋体" w:hAnsi="宋体" w:eastAsia="宋体" w:cs="宋体"/>
          <w:color w:val="auto"/>
          <w:kern w:val="2"/>
          <w:sz w:val="22"/>
          <w:szCs w:val="22"/>
          <w:highlight w:val="none"/>
          <w:lang w:val="en-US" w:eastAsia="zh-CN" w:bidi="ar-SA"/>
        </w:rPr>
        <w:tab/>
      </w:r>
      <w:r>
        <w:rPr>
          <w:rStyle w:val="5"/>
          <w:rFonts w:hint="eastAsia" w:ascii="宋体" w:hAnsi="宋体" w:eastAsia="宋体" w:cs="宋体"/>
          <w:color w:val="auto"/>
          <w:kern w:val="2"/>
          <w:sz w:val="22"/>
          <w:szCs w:val="22"/>
          <w:highlight w:val="none"/>
          <w:lang w:val="en-US" w:eastAsia="zh-CN" w:bidi="ar-SA"/>
        </w:rPr>
        <w:t>中标人负责产品到采购人指定地点的全部运输，包括装卸及现场搬运等。</w:t>
      </w:r>
    </w:p>
    <w:p w14:paraId="495C62A0">
      <w:pPr>
        <w:pStyle w:val="6"/>
        <w:widowControl w:val="0"/>
        <w:adjustRightInd w:val="0"/>
        <w:snapToGrid w:val="0"/>
        <w:spacing w:line="360" w:lineRule="auto"/>
        <w:ind w:firstLine="440" w:firstLineChars="200"/>
        <w:jc w:val="left"/>
        <w:rPr>
          <w:rStyle w:val="5"/>
          <w:rFonts w:hint="eastAsia" w:ascii="宋体" w:hAnsi="宋体" w:eastAsia="宋体" w:cs="宋体"/>
          <w:color w:val="auto"/>
          <w:kern w:val="2"/>
          <w:sz w:val="22"/>
          <w:szCs w:val="22"/>
          <w:highlight w:val="none"/>
          <w:lang w:val="en-US" w:eastAsia="zh-CN" w:bidi="ar-SA"/>
        </w:rPr>
      </w:pPr>
      <w:r>
        <w:rPr>
          <w:rStyle w:val="5"/>
          <w:rFonts w:hint="eastAsia" w:ascii="宋体" w:hAnsi="宋体" w:eastAsia="宋体" w:cs="宋体"/>
          <w:color w:val="auto"/>
          <w:kern w:val="2"/>
          <w:sz w:val="22"/>
          <w:szCs w:val="22"/>
          <w:highlight w:val="none"/>
          <w:lang w:val="en-US" w:eastAsia="zh-CN" w:bidi="ar-SA"/>
        </w:rPr>
        <w:t>2.1.2</w:t>
      </w:r>
      <w:r>
        <w:rPr>
          <w:rStyle w:val="5"/>
          <w:rFonts w:hint="eastAsia" w:ascii="宋体" w:hAnsi="宋体" w:eastAsia="宋体" w:cs="宋体"/>
          <w:color w:val="auto"/>
          <w:kern w:val="2"/>
          <w:sz w:val="22"/>
          <w:szCs w:val="22"/>
          <w:highlight w:val="none"/>
          <w:lang w:val="en-US" w:eastAsia="zh-CN" w:bidi="ar-SA"/>
        </w:rPr>
        <w:tab/>
      </w:r>
      <w:r>
        <w:rPr>
          <w:rStyle w:val="5"/>
          <w:rFonts w:hint="eastAsia" w:ascii="宋体" w:hAnsi="宋体" w:eastAsia="宋体" w:cs="宋体"/>
          <w:color w:val="auto"/>
          <w:kern w:val="2"/>
          <w:sz w:val="22"/>
          <w:szCs w:val="22"/>
          <w:highlight w:val="none"/>
          <w:lang w:val="en-US" w:eastAsia="zh-CN" w:bidi="ar-SA"/>
        </w:rPr>
        <w:t>中标人负责产品在采购人指定地点的保管，直至项目验收合格。</w:t>
      </w:r>
    </w:p>
    <w:p w14:paraId="4CB29F5A">
      <w:pPr>
        <w:pStyle w:val="6"/>
        <w:widowControl w:val="0"/>
        <w:adjustRightInd w:val="0"/>
        <w:snapToGrid w:val="0"/>
        <w:spacing w:line="360" w:lineRule="auto"/>
        <w:ind w:firstLine="440" w:firstLineChars="200"/>
        <w:jc w:val="left"/>
        <w:rPr>
          <w:rStyle w:val="5"/>
          <w:rFonts w:hint="eastAsia" w:ascii="宋体" w:hAnsi="宋体" w:eastAsia="宋体" w:cs="宋体"/>
          <w:color w:val="auto"/>
          <w:kern w:val="2"/>
          <w:sz w:val="22"/>
          <w:szCs w:val="22"/>
          <w:highlight w:val="none"/>
          <w:lang w:val="en-US" w:eastAsia="zh-CN" w:bidi="ar-SA"/>
        </w:rPr>
      </w:pPr>
      <w:r>
        <w:rPr>
          <w:rStyle w:val="5"/>
          <w:rFonts w:hint="eastAsia" w:ascii="宋体" w:hAnsi="宋体" w:eastAsia="宋体" w:cs="宋体"/>
          <w:color w:val="auto"/>
          <w:kern w:val="2"/>
          <w:sz w:val="22"/>
          <w:szCs w:val="22"/>
          <w:highlight w:val="none"/>
          <w:lang w:val="en-US" w:eastAsia="zh-CN" w:bidi="ar-SA"/>
        </w:rPr>
        <w:t>2.1.3</w:t>
      </w:r>
      <w:r>
        <w:rPr>
          <w:rStyle w:val="5"/>
          <w:rFonts w:hint="eastAsia" w:ascii="宋体" w:hAnsi="宋体" w:eastAsia="宋体" w:cs="宋体"/>
          <w:color w:val="auto"/>
          <w:kern w:val="2"/>
          <w:sz w:val="22"/>
          <w:szCs w:val="22"/>
          <w:highlight w:val="none"/>
          <w:lang w:val="en-US" w:eastAsia="zh-CN" w:bidi="ar-SA"/>
        </w:rPr>
        <w:tab/>
      </w:r>
      <w:r>
        <w:rPr>
          <w:rStyle w:val="5"/>
          <w:rFonts w:hint="eastAsia" w:ascii="宋体" w:hAnsi="宋体" w:eastAsia="宋体" w:cs="宋体"/>
          <w:color w:val="auto"/>
          <w:kern w:val="2"/>
          <w:sz w:val="22"/>
          <w:szCs w:val="22"/>
          <w:highlight w:val="none"/>
          <w:lang w:val="en-US" w:eastAsia="zh-CN" w:bidi="ar-SA"/>
        </w:rPr>
        <w:t>中标人负责其派出的人员的人身意外保险。</w:t>
      </w:r>
    </w:p>
    <w:p w14:paraId="16FBC7FE">
      <w:pPr>
        <w:pStyle w:val="6"/>
        <w:widowControl w:val="0"/>
        <w:adjustRightInd w:val="0"/>
        <w:snapToGrid w:val="0"/>
        <w:spacing w:line="360" w:lineRule="auto"/>
        <w:ind w:firstLine="442" w:firstLineChars="200"/>
        <w:jc w:val="left"/>
        <w:rPr>
          <w:rStyle w:val="5"/>
          <w:rFonts w:hint="eastAsia" w:ascii="宋体" w:hAnsi="宋体" w:eastAsia="宋体" w:cs="宋体"/>
          <w:b/>
          <w:bCs/>
          <w:color w:val="auto"/>
          <w:kern w:val="2"/>
          <w:sz w:val="22"/>
          <w:szCs w:val="22"/>
          <w:highlight w:val="none"/>
          <w:lang w:val="en-US" w:eastAsia="zh-CN" w:bidi="ar-SA"/>
        </w:rPr>
      </w:pPr>
      <w:r>
        <w:rPr>
          <w:rStyle w:val="5"/>
          <w:rFonts w:hint="eastAsia" w:ascii="宋体" w:hAnsi="宋体" w:eastAsia="宋体" w:cs="宋体"/>
          <w:b/>
          <w:bCs/>
          <w:color w:val="auto"/>
          <w:kern w:val="2"/>
          <w:sz w:val="22"/>
          <w:szCs w:val="22"/>
          <w:highlight w:val="none"/>
          <w:lang w:val="en-US" w:eastAsia="zh-CN" w:bidi="ar-SA"/>
        </w:rPr>
        <w:t>2.2安装调试</w:t>
      </w:r>
    </w:p>
    <w:p w14:paraId="29B92C6D">
      <w:pPr>
        <w:pStyle w:val="6"/>
        <w:widowControl w:val="0"/>
        <w:adjustRightInd w:val="0"/>
        <w:snapToGrid w:val="0"/>
        <w:spacing w:line="360" w:lineRule="auto"/>
        <w:ind w:firstLine="440" w:firstLineChars="200"/>
        <w:jc w:val="left"/>
        <w:rPr>
          <w:rStyle w:val="5"/>
          <w:rFonts w:hint="eastAsia" w:ascii="宋体" w:hAnsi="宋体" w:eastAsia="宋体" w:cs="宋体"/>
          <w:color w:val="auto"/>
          <w:kern w:val="2"/>
          <w:sz w:val="22"/>
          <w:szCs w:val="22"/>
          <w:highlight w:val="none"/>
          <w:lang w:val="en-US" w:eastAsia="zh-CN" w:bidi="ar-SA"/>
        </w:rPr>
      </w:pPr>
      <w:r>
        <w:rPr>
          <w:rStyle w:val="5"/>
          <w:rFonts w:hint="eastAsia" w:ascii="宋体" w:hAnsi="宋体" w:eastAsia="宋体" w:cs="宋体"/>
          <w:color w:val="auto"/>
          <w:kern w:val="2"/>
          <w:sz w:val="22"/>
          <w:szCs w:val="22"/>
          <w:highlight w:val="none"/>
          <w:lang w:val="en-US" w:eastAsia="zh-CN" w:bidi="ar-SA"/>
        </w:rPr>
        <w:t>2.2.1</w:t>
      </w:r>
      <w:r>
        <w:rPr>
          <w:rStyle w:val="5"/>
          <w:rFonts w:hint="eastAsia" w:ascii="宋体" w:hAnsi="宋体" w:eastAsia="宋体" w:cs="宋体"/>
          <w:color w:val="auto"/>
          <w:kern w:val="2"/>
          <w:sz w:val="22"/>
          <w:szCs w:val="22"/>
          <w:highlight w:val="none"/>
          <w:lang w:val="en-US" w:eastAsia="zh-CN" w:bidi="ar-SA"/>
        </w:rPr>
        <w:tab/>
      </w:r>
      <w:r>
        <w:rPr>
          <w:rStyle w:val="5"/>
          <w:rFonts w:hint="eastAsia" w:ascii="宋体" w:hAnsi="宋体" w:eastAsia="宋体" w:cs="宋体"/>
          <w:color w:val="auto"/>
          <w:kern w:val="2"/>
          <w:sz w:val="22"/>
          <w:szCs w:val="22"/>
          <w:highlight w:val="none"/>
          <w:lang w:val="en-US" w:eastAsia="zh-CN" w:bidi="ar-SA"/>
        </w:rPr>
        <w:t>成交供应商须加强施工的组织管理，所有施工人员须遵守文明安全施工的有关规章制度，持证上岗。</w:t>
      </w:r>
    </w:p>
    <w:p w14:paraId="13A85592">
      <w:pPr>
        <w:pStyle w:val="6"/>
        <w:widowControl w:val="0"/>
        <w:adjustRightInd w:val="0"/>
        <w:snapToGrid w:val="0"/>
        <w:spacing w:line="360" w:lineRule="auto"/>
        <w:ind w:firstLine="440" w:firstLineChars="200"/>
        <w:jc w:val="left"/>
        <w:rPr>
          <w:rStyle w:val="5"/>
          <w:rFonts w:hint="eastAsia" w:ascii="宋体" w:hAnsi="宋体" w:eastAsia="宋体" w:cs="宋体"/>
          <w:color w:val="auto"/>
          <w:kern w:val="2"/>
          <w:sz w:val="22"/>
          <w:szCs w:val="22"/>
          <w:highlight w:val="none"/>
          <w:lang w:val="en-US" w:eastAsia="zh-CN" w:bidi="ar-SA"/>
        </w:rPr>
      </w:pPr>
      <w:r>
        <w:rPr>
          <w:rStyle w:val="5"/>
          <w:rFonts w:hint="eastAsia" w:ascii="宋体" w:hAnsi="宋体" w:eastAsia="宋体" w:cs="宋体"/>
          <w:color w:val="auto"/>
          <w:kern w:val="2"/>
          <w:sz w:val="22"/>
          <w:szCs w:val="22"/>
          <w:highlight w:val="none"/>
          <w:lang w:val="en-US" w:eastAsia="zh-CN" w:bidi="ar-SA"/>
        </w:rPr>
        <w:t>2.2.2</w:t>
      </w:r>
      <w:r>
        <w:rPr>
          <w:rStyle w:val="5"/>
          <w:rFonts w:hint="eastAsia" w:ascii="宋体" w:hAnsi="宋体" w:eastAsia="宋体" w:cs="宋体"/>
          <w:color w:val="auto"/>
          <w:kern w:val="2"/>
          <w:sz w:val="22"/>
          <w:szCs w:val="22"/>
          <w:highlight w:val="none"/>
          <w:lang w:val="en-US" w:eastAsia="zh-CN" w:bidi="ar-SA"/>
        </w:rPr>
        <w:tab/>
      </w:r>
      <w:r>
        <w:rPr>
          <w:rStyle w:val="5"/>
          <w:rFonts w:hint="eastAsia" w:ascii="宋体" w:hAnsi="宋体" w:eastAsia="宋体" w:cs="宋体"/>
          <w:color w:val="auto"/>
          <w:kern w:val="2"/>
          <w:sz w:val="22"/>
          <w:szCs w:val="22"/>
          <w:highlight w:val="none"/>
          <w:lang w:val="en-US" w:eastAsia="zh-CN" w:bidi="ar-SA"/>
        </w:rPr>
        <w:t>项目完成后，成交供应商应将项目有关的全部资料移交给采购人。</w:t>
      </w:r>
    </w:p>
    <w:p w14:paraId="501481D8">
      <w:pPr>
        <w:pStyle w:val="6"/>
        <w:widowControl w:val="0"/>
        <w:adjustRightInd w:val="0"/>
        <w:snapToGrid w:val="0"/>
        <w:spacing w:line="360" w:lineRule="auto"/>
        <w:ind w:firstLine="440" w:firstLineChars="200"/>
        <w:jc w:val="left"/>
        <w:rPr>
          <w:rStyle w:val="5"/>
          <w:rFonts w:hint="eastAsia" w:ascii="宋体" w:hAnsi="宋体" w:eastAsia="宋体" w:cs="宋体"/>
          <w:color w:val="auto"/>
          <w:kern w:val="2"/>
          <w:sz w:val="22"/>
          <w:szCs w:val="22"/>
          <w:highlight w:val="none"/>
          <w:lang w:val="en-US" w:eastAsia="zh-CN" w:bidi="ar-SA"/>
        </w:rPr>
      </w:pPr>
      <w:r>
        <w:rPr>
          <w:rStyle w:val="5"/>
          <w:rFonts w:hint="eastAsia" w:ascii="宋体" w:hAnsi="宋体" w:eastAsia="宋体" w:cs="宋体"/>
          <w:color w:val="auto"/>
          <w:kern w:val="2"/>
          <w:sz w:val="22"/>
          <w:szCs w:val="22"/>
          <w:highlight w:val="none"/>
          <w:lang w:val="en-US" w:eastAsia="zh-CN" w:bidi="ar-SA"/>
        </w:rPr>
        <w:t>2.2.3</w:t>
      </w:r>
      <w:r>
        <w:rPr>
          <w:rStyle w:val="5"/>
          <w:rFonts w:hint="eastAsia" w:ascii="宋体" w:hAnsi="宋体" w:eastAsia="宋体" w:cs="宋体"/>
          <w:color w:val="auto"/>
          <w:kern w:val="2"/>
          <w:sz w:val="22"/>
          <w:szCs w:val="22"/>
          <w:highlight w:val="none"/>
          <w:lang w:val="en-US" w:eastAsia="zh-CN" w:bidi="ar-SA"/>
        </w:rPr>
        <w:tab/>
      </w:r>
      <w:r>
        <w:rPr>
          <w:rStyle w:val="5"/>
          <w:rFonts w:hint="eastAsia" w:ascii="宋体" w:hAnsi="宋体" w:eastAsia="宋体" w:cs="宋体"/>
          <w:color w:val="auto"/>
          <w:kern w:val="2"/>
          <w:sz w:val="22"/>
          <w:szCs w:val="22"/>
          <w:highlight w:val="none"/>
          <w:lang w:val="en-US" w:eastAsia="zh-CN" w:bidi="ar-SA"/>
        </w:rPr>
        <w:t>在产品运输、保管、安装、维护过程中的一切意外事故由供应商承担法律责任及经济责任。</w:t>
      </w:r>
    </w:p>
    <w:p w14:paraId="00DC5849">
      <w:pPr>
        <w:pStyle w:val="6"/>
        <w:widowControl w:val="0"/>
        <w:adjustRightInd w:val="0"/>
        <w:snapToGrid w:val="0"/>
        <w:spacing w:line="360" w:lineRule="auto"/>
        <w:ind w:firstLine="440" w:firstLineChars="200"/>
        <w:jc w:val="left"/>
        <w:rPr>
          <w:rStyle w:val="5"/>
          <w:rFonts w:hint="eastAsia" w:ascii="宋体" w:hAnsi="宋体" w:eastAsia="宋体" w:cs="宋体"/>
          <w:color w:val="auto"/>
          <w:kern w:val="2"/>
          <w:sz w:val="22"/>
          <w:szCs w:val="22"/>
          <w:highlight w:val="none"/>
          <w:lang w:val="en-US" w:eastAsia="zh-CN" w:bidi="ar-SA"/>
        </w:rPr>
      </w:pPr>
      <w:r>
        <w:rPr>
          <w:rStyle w:val="5"/>
          <w:rFonts w:hint="eastAsia" w:ascii="宋体" w:hAnsi="宋体" w:eastAsia="宋体" w:cs="宋体"/>
          <w:color w:val="auto"/>
          <w:kern w:val="2"/>
          <w:sz w:val="22"/>
          <w:szCs w:val="22"/>
          <w:highlight w:val="none"/>
          <w:lang w:val="en-US" w:eastAsia="zh-CN" w:bidi="ar-SA"/>
        </w:rPr>
        <w:t>2.2.4按规范要求做好基础处理并安装在采购人指定位置。</w:t>
      </w:r>
    </w:p>
    <w:p w14:paraId="7E6FD45A">
      <w:pPr>
        <w:pStyle w:val="6"/>
        <w:widowControl w:val="0"/>
        <w:adjustRightInd w:val="0"/>
        <w:snapToGrid w:val="0"/>
        <w:spacing w:line="360" w:lineRule="auto"/>
        <w:ind w:firstLine="442" w:firstLineChars="200"/>
        <w:jc w:val="left"/>
        <w:rPr>
          <w:rStyle w:val="5"/>
          <w:rFonts w:hint="eastAsia" w:ascii="宋体" w:hAnsi="宋体" w:eastAsia="宋体" w:cs="宋体"/>
          <w:b/>
          <w:bCs/>
          <w:color w:val="auto"/>
          <w:kern w:val="2"/>
          <w:sz w:val="22"/>
          <w:szCs w:val="22"/>
          <w:highlight w:val="none"/>
          <w:lang w:val="en-US" w:eastAsia="zh-CN" w:bidi="ar-SA"/>
        </w:rPr>
      </w:pPr>
      <w:r>
        <w:rPr>
          <w:rStyle w:val="5"/>
          <w:rFonts w:hint="eastAsia" w:ascii="宋体" w:hAnsi="宋体" w:eastAsia="宋体" w:cs="宋体"/>
          <w:b/>
          <w:bCs/>
          <w:color w:val="auto"/>
          <w:kern w:val="2"/>
          <w:sz w:val="22"/>
          <w:szCs w:val="22"/>
          <w:highlight w:val="none"/>
          <w:lang w:val="en-US" w:eastAsia="zh-CN" w:bidi="ar-SA"/>
        </w:rPr>
        <w:t>3.培训要求</w:t>
      </w:r>
    </w:p>
    <w:p w14:paraId="1009C358">
      <w:pPr>
        <w:pStyle w:val="6"/>
        <w:widowControl w:val="0"/>
        <w:adjustRightInd w:val="0"/>
        <w:snapToGrid w:val="0"/>
        <w:spacing w:line="360" w:lineRule="auto"/>
        <w:ind w:firstLine="440" w:firstLineChars="200"/>
        <w:jc w:val="left"/>
        <w:rPr>
          <w:rStyle w:val="5"/>
          <w:rFonts w:hint="eastAsia" w:ascii="宋体" w:hAnsi="宋体" w:eastAsia="宋体" w:cs="宋体"/>
          <w:color w:val="auto"/>
          <w:kern w:val="2"/>
          <w:sz w:val="22"/>
          <w:szCs w:val="22"/>
          <w:highlight w:val="none"/>
          <w:lang w:val="en-US" w:eastAsia="zh-CN" w:bidi="ar-SA"/>
        </w:rPr>
      </w:pPr>
      <w:r>
        <w:rPr>
          <w:rStyle w:val="5"/>
          <w:rFonts w:hint="eastAsia" w:ascii="宋体" w:hAnsi="宋体" w:eastAsia="宋体" w:cs="宋体"/>
          <w:color w:val="auto"/>
          <w:kern w:val="2"/>
          <w:sz w:val="22"/>
          <w:szCs w:val="22"/>
          <w:highlight w:val="none"/>
          <w:lang w:val="en-US" w:eastAsia="zh-CN" w:bidi="ar-SA"/>
        </w:rPr>
        <w:t>中标供应商免费为采购人提供现场培训、中文操作手册并培训操作人员，其中包括讲解产品的结构以及原理、产品的使用以及维护，直至操作人员能够独立的操作使用。</w:t>
      </w:r>
    </w:p>
    <w:p w14:paraId="7BD202EF">
      <w:pPr>
        <w:rPr>
          <w:color w:val="auto"/>
          <w:highlight w:val="none"/>
        </w:rPr>
      </w:pPr>
    </w:p>
    <w:bookmarkEnd w:id="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675F4C"/>
    <w:rsid w:val="032A1A05"/>
    <w:rsid w:val="0EC24FBD"/>
    <w:rsid w:val="1604242C"/>
    <w:rsid w:val="278316FE"/>
    <w:rsid w:val="446C184E"/>
    <w:rsid w:val="5F675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center"/>
      <w:outlineLvl w:val="0"/>
    </w:pPr>
    <w:rPr>
      <w:rFonts w:asciiTheme="minorAscii" w:hAnsiTheme="minorAscii"/>
      <w:b/>
      <w:kern w:val="44"/>
      <w:sz w:val="32"/>
      <w:szCs w:val="22"/>
    </w:rPr>
  </w:style>
  <w:style w:type="paragraph" w:styleId="3">
    <w:name w:val="heading 2"/>
    <w:basedOn w:val="1"/>
    <w:next w:val="1"/>
    <w:semiHidden/>
    <w:unhideWhenUsed/>
    <w:qFormat/>
    <w:uiPriority w:val="0"/>
    <w:pPr>
      <w:keepNext/>
      <w:keepLines/>
      <w:spacing w:beforeLines="0" w:beforeAutospacing="0" w:afterLines="0" w:afterAutospacing="0" w:line="360" w:lineRule="auto"/>
      <w:jc w:val="center"/>
      <w:outlineLvl w:val="1"/>
    </w:pPr>
    <w:rPr>
      <w:rFonts w:ascii="Arial" w:hAnsi="Arial" w:eastAsia="宋体"/>
      <w:b/>
      <w:sz w:val="28"/>
      <w:szCs w:val="2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6">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
    <w:name w:val="标题 1_0"/>
    <w:next w:val="6"/>
    <w:qFormat/>
    <w:uiPriority w:val="9"/>
    <w:pPr>
      <w:keepNext/>
      <w:keepLines/>
      <w:widowControl w:val="0"/>
      <w:spacing w:beforeLines="0" w:beforeAutospacing="0" w:afterLines="0" w:afterAutospacing="0" w:line="360" w:lineRule="auto"/>
      <w:jc w:val="center"/>
      <w:outlineLvl w:val="0"/>
    </w:pPr>
    <w:rPr>
      <w:rFonts w:ascii="Calibri" w:hAnsi="Calibri" w:eastAsia="宋体" w:cs="Times New Roman"/>
      <w:b/>
      <w:kern w:val="44"/>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2026-08-20T03:20:00Z</dcterms:created>
  <dc:creator>华新代理公司</dc:creator>
  <cp:lastModifiedBy>华新代理公司</cp:lastModifiedBy>
  <dcterms:modified xsi:type="dcterms:W3CDTF">2026-08-20T03:20:42Z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3290DE091AD9457D8444C0CBDBCB429A_13</vt:lpwstr>
  </property>
  <property fmtid="{D5CDD505-2E9C-101B-9397-08002B2CF9AE}" pid="4" name="KSOTemplateDocerSaveRecord">
    <vt:lpwstr>eyJoZGlkIjoiNWU0MjNkMTdlMmY2YWIyNDdhNjM5MGYxYWI5MTBhMmIiLCJ1c2VySWQiOiIyMzEzOTEwODUifQ==</vt:lpwstr>
  </property>
</Properties>
</file>