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60EEC">
      <w:pPr>
        <w:spacing w:beforeLines="0" w:afterLines="0" w:line="600" w:lineRule="exact"/>
        <w:jc w:val="center"/>
        <w:rPr>
          <w:rFonts w:hint="eastAsia" w:ascii="方正小标宋_GBK" w:hAnsi="方正小标宋_GBK" w:eastAsia="方正小标宋_GBK" w:cs="方正小标宋_GBK"/>
          <w:color w:val="auto"/>
          <w:sz w:val="44"/>
          <w:szCs w:val="44"/>
        </w:rPr>
      </w:pPr>
      <w:bookmarkStart w:id="1" w:name="_GoBack"/>
      <w:r>
        <w:rPr>
          <w:rFonts w:hint="eastAsia" w:ascii="方正小标宋_GBK" w:hAnsi="方正小标宋_GBK" w:eastAsia="方正小标宋_GBK" w:cs="方正小标宋_GBK"/>
          <w:color w:val="auto"/>
          <w:sz w:val="44"/>
          <w:szCs w:val="44"/>
        </w:rPr>
        <w:t>湖南科技学院自营食堂劳务外包服务</w:t>
      </w:r>
    </w:p>
    <w:p w14:paraId="40825126">
      <w:pPr>
        <w:spacing w:beforeLines="0" w:afterLines="0" w:line="600" w:lineRule="exact"/>
        <w:jc w:val="center"/>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采购合同</w:t>
      </w:r>
      <w:bookmarkEnd w:id="1"/>
    </w:p>
    <w:p w14:paraId="4C82D6BC">
      <w:pPr>
        <w:pStyle w:val="2"/>
        <w:spacing w:beforeLines="0" w:afterLines="0"/>
        <w:jc w:val="center"/>
        <w:rPr>
          <w:rFonts w:hint="eastAsia" w:ascii="楷体" w:hAnsi="楷体" w:eastAsia="楷体" w:cs="楷体"/>
          <w:color w:val="auto"/>
          <w:sz w:val="28"/>
          <w:szCs w:val="28"/>
        </w:rPr>
      </w:pPr>
      <w:r>
        <w:rPr>
          <w:rFonts w:hint="eastAsia"/>
          <w:sz w:val="28"/>
          <w:szCs w:val="28"/>
        </w:rPr>
        <w:t>（最终以采购人法务审核稿为准）</w:t>
      </w:r>
    </w:p>
    <w:p w14:paraId="2B306536">
      <w:pPr>
        <w:spacing w:beforeLines="0" w:afterLines="0" w:line="440" w:lineRule="exact"/>
        <w:rPr>
          <w:rFonts w:hint="eastAsia" w:ascii="仿宋" w:hAnsi="仿宋" w:eastAsia="仿宋" w:cs="仿宋"/>
          <w:color w:val="auto"/>
          <w:sz w:val="30"/>
          <w:szCs w:val="30"/>
        </w:rPr>
      </w:pPr>
    </w:p>
    <w:p w14:paraId="419482CC">
      <w:pPr>
        <w:spacing w:beforeLines="0" w:afterLines="0" w:line="480" w:lineRule="exact"/>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甲方（采购人）：</w:t>
      </w:r>
      <w:r>
        <w:rPr>
          <w:rFonts w:hint="eastAsia" w:ascii="仿宋_GB2312" w:hAnsi="仿宋_GB2312" w:eastAsia="仿宋_GB2312" w:cs="仿宋_GB2312"/>
          <w:color w:val="auto"/>
          <w:sz w:val="28"/>
          <w:szCs w:val="28"/>
          <w:u w:val="single"/>
        </w:rPr>
        <w:t xml:space="preserve">   湖南科技学院                    </w:t>
      </w:r>
    </w:p>
    <w:p w14:paraId="54CA692D">
      <w:pPr>
        <w:spacing w:beforeLines="0" w:afterLines="0" w:line="480" w:lineRule="exact"/>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乙方（供应商）：</w:t>
      </w:r>
      <w:r>
        <w:rPr>
          <w:rFonts w:hint="eastAsia" w:ascii="仿宋_GB2312" w:hAnsi="仿宋_GB2312" w:eastAsia="仿宋_GB2312" w:cs="仿宋_GB2312"/>
          <w:color w:val="auto"/>
          <w:sz w:val="28"/>
          <w:szCs w:val="28"/>
          <w:u w:val="single"/>
        </w:rPr>
        <w:t xml:space="preserve">                                   </w:t>
      </w:r>
    </w:p>
    <w:p w14:paraId="0CFB16AE">
      <w:pPr>
        <w:spacing w:beforeLines="0" w:afterLines="0" w:line="480" w:lineRule="exact"/>
        <w:ind w:firstLine="548" w:firstLineChars="196"/>
        <w:rPr>
          <w:rFonts w:hint="eastAsia" w:ascii="仿宋_GB2312" w:hAnsi="仿宋_GB2312" w:eastAsia="仿宋_GB2312" w:cs="仿宋_GB2312"/>
          <w:color w:val="auto"/>
          <w:sz w:val="28"/>
          <w:szCs w:val="28"/>
        </w:rPr>
      </w:pPr>
    </w:p>
    <w:p w14:paraId="1D15B99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根据《中华人民共和国民法典》和《中华人民共和国食品安全法》等有关法律、法规的规定，经公开招标，甲乙双方在平等、自愿、诚实信用的基础上，就甲方</w:t>
      </w:r>
      <w:r>
        <w:rPr>
          <w:rFonts w:hint="eastAsia" w:ascii="仿宋_GB2312" w:hAnsi="仿宋_GB2312" w:eastAsia="仿宋_GB2312" w:cs="仿宋_GB2312"/>
          <w:color w:val="auto"/>
          <w:spacing w:val="9"/>
          <w:sz w:val="28"/>
          <w:szCs w:val="28"/>
        </w:rPr>
        <w:t>自营食堂经营外包</w:t>
      </w:r>
      <w:r>
        <w:rPr>
          <w:rFonts w:hint="eastAsia" w:ascii="仿宋_GB2312" w:hAnsi="仿宋_GB2312" w:eastAsia="仿宋_GB2312" w:cs="仿宋_GB2312"/>
          <w:color w:val="auto"/>
          <w:sz w:val="28"/>
          <w:szCs w:val="28"/>
        </w:rPr>
        <w:t>事宜达成一致，为明确双方的权利和义务，特订立本合同，以资共同遵守。</w:t>
      </w:r>
    </w:p>
    <w:p w14:paraId="261A0832">
      <w:pPr>
        <w:spacing w:beforeLines="0" w:afterLines="0" w:line="48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一、服务内容与范围</w:t>
      </w:r>
    </w:p>
    <w:p w14:paraId="160D9FA0">
      <w:pPr>
        <w:spacing w:beforeLines="0" w:afterLines="0" w:line="480" w:lineRule="exact"/>
        <w:ind w:firstLine="59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pacing w:val="9"/>
          <w:sz w:val="28"/>
          <w:szCs w:val="28"/>
        </w:rPr>
        <w:t>1.服务地点</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pacing w:val="9"/>
          <w:sz w:val="28"/>
          <w:szCs w:val="28"/>
        </w:rPr>
        <w:t>湖南科技学院竹园食堂，坐落在校区南门，总建筑面积2745.88㎡，一层面积1383.69㎡，二层面积1362.19㎡，总座位数约为800个；荷园食堂，坐落在校区东大门进门右侧，总建筑面积为2224㎡，每层面积为1112㎡，总座位数约650个。</w:t>
      </w:r>
      <w:r>
        <w:rPr>
          <w:rFonts w:hint="eastAsia" w:ascii="仿宋_GB2312" w:hAnsi="仿宋_GB2312" w:eastAsia="仿宋_GB2312" w:cs="仿宋_GB2312"/>
          <w:color w:val="auto"/>
          <w:sz w:val="28"/>
          <w:szCs w:val="28"/>
        </w:rPr>
        <w:t>服务地点如有增减或变更双方另行商议并签订补充协议。</w:t>
      </w:r>
    </w:p>
    <w:p w14:paraId="70F7E925">
      <w:pPr>
        <w:pStyle w:val="6"/>
        <w:numPr>
          <w:ilvl w:val="0"/>
          <w:numId w:val="0"/>
        </w:numPr>
        <w:adjustRightInd w:val="0"/>
        <w:snapToGrid w:val="0"/>
        <w:spacing w:beforeLines="0" w:afterLines="0" w:line="480" w:lineRule="exact"/>
        <w:ind w:firstLine="598"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b/>
          <w:color w:val="auto"/>
          <w:spacing w:val="9"/>
          <w:sz w:val="28"/>
          <w:szCs w:val="28"/>
        </w:rPr>
        <w:t>2.经营范围：</w:t>
      </w:r>
      <w:r>
        <w:rPr>
          <w:rFonts w:hint="eastAsia" w:ascii="仿宋_GB2312" w:hAnsi="仿宋_GB2312" w:eastAsia="仿宋_GB2312" w:cs="仿宋_GB2312"/>
          <w:color w:val="auto"/>
          <w:spacing w:val="9"/>
          <w:sz w:val="28"/>
          <w:szCs w:val="28"/>
        </w:rPr>
        <w:t>提供甲方师生的保障性用餐（基本大伙含早/中/晚三餐，按一菜一价模式提供）需求和特色化用餐需求。</w:t>
      </w:r>
    </w:p>
    <w:p w14:paraId="31FA635F">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荷园食堂一楼东边四个档口为基本大伙，北边四个档口为特色档口；二楼四个档口为特色档口，南北两个档口分别为粉面、包点特色档口。竹园食堂第一层楼各档口均为基本大伙，其中第一个档口为包点档口，第二层楼五个档口均为特色经营档口。</w:t>
      </w:r>
    </w:p>
    <w:p w14:paraId="0723334E">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荷园食堂一楼特色档口（共4个）开设数量不得低于3个，荷园食堂二楼特色档口（共4个）开设数量不得低于3个（必须开设一个含包点和一个含粉面的档口），竹园食堂二楼特色档口（共5个）开设数量不得低于4个。</w:t>
      </w:r>
    </w:p>
    <w:p w14:paraId="37858297">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两个自营食堂的包点档口，各类包子和馒头必须为完全自制，不能使用外购成品或半成品。</w:t>
      </w:r>
    </w:p>
    <w:p w14:paraId="4C62DE7A">
      <w:pPr>
        <w:pStyle w:val="6"/>
        <w:numPr>
          <w:ilvl w:val="0"/>
          <w:numId w:val="0"/>
        </w:numPr>
        <w:adjustRightInd w:val="0"/>
        <w:snapToGrid w:val="0"/>
        <w:spacing w:beforeLines="0" w:afterLines="0" w:line="480" w:lineRule="exact"/>
        <w:ind w:firstLine="598"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b/>
          <w:color w:val="auto"/>
          <w:spacing w:val="9"/>
          <w:sz w:val="28"/>
          <w:szCs w:val="28"/>
        </w:rPr>
        <w:t>3.经营时间：</w:t>
      </w:r>
      <w:r>
        <w:rPr>
          <w:rFonts w:hint="eastAsia" w:ascii="仿宋_GB2312" w:hAnsi="仿宋_GB2312" w:eastAsia="仿宋_GB2312" w:cs="仿宋_GB2312"/>
          <w:color w:val="auto"/>
          <w:spacing w:val="9"/>
          <w:sz w:val="28"/>
          <w:szCs w:val="28"/>
        </w:rPr>
        <w:t>根据甲方教育、教学时间安排营业时间。</w:t>
      </w:r>
    </w:p>
    <w:p w14:paraId="6AC32645">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（1）基本大伙：主食从上午10:00开始供餐，13:00-16:00不供餐，20:00结束供餐；自营食堂基本大伙寒、暑假为值班营业时间，特殊情况营业时间服从甲方统一安排。</w:t>
      </w:r>
    </w:p>
    <w:p w14:paraId="10D618D3">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（2）特色档口：早上从7:00开始，夜间营业时间适当延长至22:00，无特殊情况寒、暑假为非营业时间，假期值班营业时间服从甲方统一调配。</w:t>
      </w:r>
    </w:p>
    <w:p w14:paraId="55C7D061">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粉面包点等档口，早上从6:30开始供餐，晚上8:00结束供餐。</w:t>
      </w:r>
    </w:p>
    <w:p w14:paraId="2D0AE5C5">
      <w:pPr>
        <w:spacing w:beforeLines="0" w:afterLines="0" w:line="480" w:lineRule="exact"/>
        <w:ind w:firstLine="598" w:firstLineChars="200"/>
        <w:rPr>
          <w:rFonts w:hint="eastAsia" w:ascii="仿宋_GB2312" w:hAnsi="仿宋_GB2312" w:eastAsia="仿宋_GB2312" w:cs="仿宋_GB2312"/>
          <w:b/>
          <w:color w:val="auto"/>
          <w:spacing w:val="9"/>
          <w:sz w:val="28"/>
          <w:szCs w:val="28"/>
        </w:rPr>
      </w:pPr>
      <w:r>
        <w:rPr>
          <w:rFonts w:hint="eastAsia" w:ascii="仿宋_GB2312" w:hAnsi="仿宋_GB2312" w:eastAsia="仿宋_GB2312" w:cs="仿宋_GB2312"/>
          <w:b/>
          <w:color w:val="auto"/>
          <w:spacing w:val="9"/>
          <w:sz w:val="28"/>
          <w:szCs w:val="28"/>
        </w:rPr>
        <w:t>4.供餐要求：</w:t>
      </w:r>
    </w:p>
    <w:p w14:paraId="05734B08">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（1）基本大伙：</w:t>
      </w:r>
    </w:p>
    <w:p w14:paraId="0BCE9A3C">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①每日菜品标准如下：早餐提供营养可口的食品，保证15个品种以上（面点、粉面、稀饭、豆浆、油条等）；中、晚餐提供不少于20个荤、素、汤（免费）及米饭，以及甲方要求的其他特色供餐。</w:t>
      </w:r>
    </w:p>
    <w:p w14:paraId="7A94F656">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②菜价区间比例如下：低价位菜（1-2元）占比为30%左右；中价位菜（3-4元，荤素比不少于4:6）所占比例为40%左右；高价位菜（5元，荤素比不少于8:2）所占比例为30%左右。另每餐可适当增设2-3道菜价5元以上的精品特价菜（纯荤），所有菜品份量不得少于150克/份，中高价菜品提供半份售卖。</w:t>
      </w:r>
    </w:p>
    <w:p w14:paraId="701FEC66">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③基本大伙必须设置并不局限于：（1）政策性保障用餐：提供符合区域性饮食习惯的餐品；（2）福利性贫困生用餐：提供30份/餐的爱心餐（一荤两素），每份4元，售完为止。</w:t>
      </w:r>
    </w:p>
    <w:p w14:paraId="7D0B48F8">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④其他要求：所有菜价必须报甲方审批后明码标价执行，乙方应根据季节不同提供适时菜品，定期推出特色菜或新菜，更新菜单须提前公示。</w:t>
      </w:r>
    </w:p>
    <w:p w14:paraId="53587D8E">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（2）特色档口：</w:t>
      </w:r>
    </w:p>
    <w:p w14:paraId="0CAF8D45">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①乙方必须按照甲方的要求有针对性地开展特色档口的自营，特色档口的经营必须避免餐饮类型同质化，引进多种地域特色餐饮（如粤式茶点、川味小吃、西式简餐等）。</w:t>
      </w:r>
    </w:p>
    <w:p w14:paraId="25D9E85A">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②特色档口的经营项目类别必须提前申报，经甲方同意后方能实施。特色餐饮项目类型包含特色套餐饭（含现炒、煲仔饭、干锅、铁板饭等形式）类、特色粉面类（重庆小面、桂林米粉、特色卤粉等）、西式快餐类（汉堡、炸鸡）、小吃类（地域性小吃、麻辣香锅、火锅米线、卤味系列等）、轻食类（粥、饼）等。</w:t>
      </w:r>
    </w:p>
    <w:p w14:paraId="141F5274">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③所有特色档口菜品售价必须报甲方审批后明码标价执行。</w:t>
      </w:r>
    </w:p>
    <w:p w14:paraId="7CCA3DF8">
      <w:pPr>
        <w:pStyle w:val="6"/>
        <w:numPr>
          <w:ilvl w:val="0"/>
          <w:numId w:val="0"/>
        </w:numPr>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④食堂使用预制菜必须报甲方审批同意后才能使用。</w:t>
      </w:r>
    </w:p>
    <w:p w14:paraId="6B66AF4B">
      <w:pPr>
        <w:spacing w:beforeLines="0" w:afterLines="0" w:line="480" w:lineRule="exact"/>
        <w:ind w:firstLine="470" w:firstLineChars="157"/>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pacing w:val="9"/>
          <w:sz w:val="28"/>
          <w:szCs w:val="28"/>
        </w:rPr>
        <w:t>二、</w:t>
      </w:r>
      <w:r>
        <w:rPr>
          <w:rFonts w:hint="eastAsia" w:ascii="仿宋_GB2312" w:hAnsi="仿宋_GB2312" w:eastAsia="仿宋_GB2312" w:cs="仿宋_GB2312"/>
          <w:b/>
          <w:color w:val="auto"/>
          <w:sz w:val="28"/>
          <w:szCs w:val="28"/>
        </w:rPr>
        <w:t>劳务人员管理</w:t>
      </w:r>
    </w:p>
    <w:p w14:paraId="6B5A73F3">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乙方须负责本项目劳务服务团队员工配置、工资、福利待遇、人事、劳资、员工保险等所有关系及相关业务的办理。劳务团队人员必须为乙方员工，乙方自行购买正式员工相关险种并对此负责。</w:t>
      </w:r>
    </w:p>
    <w:p w14:paraId="073A179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（一）人员配置数量要求</w:t>
      </w:r>
    </w:p>
    <w:p w14:paraId="57EA666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乙方人员配置数量，竹园食堂不得少于21人，荷园食堂不得少于33人。乙方必须按投标文件要求配置项目经理（1人）、食品安全管理员（1人）、仓管（1人）、留样人员（1人）和保洁团队，并按经营实际需求配置好厨师长、厨师、领班、切配、售卖、财务等相关服务管理人员。厨师等相关人员须持有相关从业资格证，所有管理团队人员服从甲方调配管理。</w:t>
      </w:r>
    </w:p>
    <w:p w14:paraId="0E8381C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（二）劳务团队人员要求</w:t>
      </w:r>
    </w:p>
    <w:p w14:paraId="23B16B9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1.所有从业人员入场前须持有效期内的健康证。</w:t>
      </w:r>
    </w:p>
    <w:p w14:paraId="08B067D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2.主要管理人员必须有相关项目管理经验，满足项目的整体服务要求，如确因工作原因乙方进行人员岗位调整，需经甲方书面同意，并提供同等资历的证明材料到后勤部门备案。</w:t>
      </w:r>
    </w:p>
    <w:p w14:paraId="23D77CAC">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3.乙方所聘员工要求法定年龄18周岁以上、60周岁以下。</w:t>
      </w:r>
    </w:p>
    <w:p w14:paraId="00E57FBB">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乙方配备本项目专职项目经理、食品安全管理员、厨师长须在投标文件中提供项目人员清单，在本轮招标服务期限内乙方不得单方面做出调整。如若服务过程中，以上人员不能达到甲方需求，乙方应在收到甲方书面通知后10个工作日内按甲方要求重新配置到位，否则按照违反合同约定处理。</w:t>
      </w:r>
    </w:p>
    <w:p w14:paraId="416D3909">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5.乙方员工上班时间要求统一着工装上岗，不得在食堂区域吸烟，不披头散发，不留长指甲，不佩戴裸露在外的首饰，行为符合国家行业主管部门相关要求，保持良好精神面貌和卫生形象。</w:t>
      </w:r>
    </w:p>
    <w:p w14:paraId="49FD1F58">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6.乙方需定期对员工的服务培训，做到主动热情、耐心细致、态度和蔼，提供文明礼貌优质服务。</w:t>
      </w:r>
    </w:p>
    <w:p w14:paraId="5B6B1B87">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7.乙方员工工作时间不准会客，不带非工作人员随意进出食堂工作区域，不做与工作无关的事情。</w:t>
      </w:r>
    </w:p>
    <w:p w14:paraId="5571B60A">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8.乙方员工需主动听取师生就餐意见，及时回复、处理各类就餐意见、建议和投诉。</w:t>
      </w:r>
    </w:p>
    <w:p w14:paraId="36C23D44">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9.乙方对于由于服务态度引起的投诉，一经查实，按甲方要求从严处理。</w:t>
      </w:r>
    </w:p>
    <w:p w14:paraId="1219DB7D">
      <w:pPr>
        <w:spacing w:beforeLines="0" w:afterLines="0" w:line="480" w:lineRule="exact"/>
        <w:ind w:left="532"/>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pacing w:val="9"/>
          <w:sz w:val="28"/>
          <w:szCs w:val="28"/>
        </w:rPr>
        <w:t>三、设备投入与管理</w:t>
      </w:r>
    </w:p>
    <w:p w14:paraId="7CB60103">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1.食堂基础设施装修改造及大型设施设备由甲方投入，费用由甲方承担，乙方负责设备的日常保管、使用；洗碗机专用洗洁精、一次性用品、卫生用具（含大厅纸巾）等，纳入食堂每月易耗品管理。</w:t>
      </w:r>
    </w:p>
    <w:p w14:paraId="6850DD5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2.乙方负责全部设施设备日常巡检、保养、管护，完整留存巡检、保养、维修台账记录。</w:t>
      </w:r>
    </w:p>
    <w:p w14:paraId="1EFE8F29">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（1）设施设备维修费用划分标准。单次费用≥200元：维修、更换相关费用由甲方承担；单次费用＜200元：维修、更换相关费用由乙方自行承担。</w:t>
      </w:r>
    </w:p>
    <w:p w14:paraId="78FB966A">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乙方须及时处置设备故障，不得故意拖延维修、人为积攒多处同类/关联故障，合并申报维修转嫁成本至甲方。同一台设备短期内连续发生多项故障、可一次性排查处置却拆分报修；或多台独立设备同类小故障长期搁置、集中打包统一申报，形成总费用≥200元的，全部认定为零星维修范畴，相关费用由乙方自行承担。</w:t>
      </w:r>
    </w:p>
    <w:p w14:paraId="217E70E6">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（3）人为故意损坏设施设备的，由乙方按物品原价予以赔偿，赔偿款项可从劳务服务费中直接扣除。</w:t>
      </w:r>
    </w:p>
    <w:p w14:paraId="6900983A">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（4）乙方发现故障须在24小时内登记上报甲方，并提出处置方案；未及时上报、放任故障扩大造成维修成本增加的，扩大部分维修费用由乙方承担。</w:t>
      </w:r>
    </w:p>
    <w:p w14:paraId="69AACD6C">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3.乙方根据人员配备数量，为员工各配置夏、冬两季工作服2套。</w:t>
      </w:r>
    </w:p>
    <w:p w14:paraId="7DB5A2AB">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严禁劳务服务团队人员私自处置甲方食堂资产（厨具、食材、设备设施等，所有资产必须登记台账，注明用途和去向），发现有挪用(主观恶意）公共财产的个人一律辞退，进行赔偿，并对劳务服务团队进行处罚（损失财产的5倍）。</w:t>
      </w:r>
    </w:p>
    <w:p w14:paraId="1099CEBE">
      <w:pPr>
        <w:spacing w:beforeLines="0" w:afterLines="0" w:line="480" w:lineRule="exact"/>
        <w:ind w:left="532"/>
        <w:rPr>
          <w:rFonts w:hint="eastAsia" w:ascii="仿宋_GB2312" w:hAnsi="仿宋_GB2312" w:eastAsia="仿宋_GB2312" w:cs="仿宋_GB2312"/>
          <w:color w:val="auto"/>
          <w:spacing w:val="7"/>
          <w:sz w:val="28"/>
          <w:szCs w:val="28"/>
        </w:rPr>
      </w:pPr>
      <w:r>
        <w:rPr>
          <w:rFonts w:hint="eastAsia" w:ascii="仿宋_GB2312" w:hAnsi="仿宋_GB2312" w:eastAsia="仿宋_GB2312" w:cs="仿宋_GB2312"/>
          <w:b/>
          <w:color w:val="auto"/>
          <w:spacing w:val="7"/>
          <w:sz w:val="28"/>
          <w:szCs w:val="28"/>
        </w:rPr>
        <w:t xml:space="preserve"> 四、基本劳务费和绩效等财务事项</w:t>
      </w:r>
    </w:p>
    <w:p w14:paraId="72E12BF7">
      <w:pPr>
        <w:pStyle w:val="6"/>
        <w:adjustRightInd w:val="0"/>
        <w:snapToGrid w:val="0"/>
        <w:spacing w:beforeLines="0" w:afterLines="0" w:line="480" w:lineRule="exact"/>
        <w:ind w:firstLine="562"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b/>
          <w:color w:val="auto"/>
          <w:sz w:val="28"/>
          <w:szCs w:val="28"/>
        </w:rPr>
        <w:t>（一）</w:t>
      </w:r>
      <w:r>
        <w:rPr>
          <w:rFonts w:hint="eastAsia" w:ascii="仿宋_GB2312" w:hAnsi="仿宋_GB2312" w:eastAsia="仿宋_GB2312" w:cs="仿宋_GB2312"/>
          <w:color w:val="auto"/>
          <w:spacing w:val="9"/>
          <w:sz w:val="28"/>
          <w:szCs w:val="28"/>
        </w:rPr>
        <w:t>劳务服务团队基本劳务服务费用</w:t>
      </w:r>
    </w:p>
    <w:p w14:paraId="1A15F7B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1.特色档口开放数量、日均营业额及月度毛利率要求：</w:t>
      </w:r>
    </w:p>
    <w:p w14:paraId="77E6BB05">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（1）日均营业额要求：除寒暑假、法定节假日特殊值班时间外（按照正常经营天数计算），每个自营食堂基本大伙日均营业额不得低于8000元（含），单个特色档口日均营业额不得低于2000元（含）。</w:t>
      </w:r>
    </w:p>
    <w:p w14:paraId="546AADCB">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月度毛利率要求：27%≤基本大伙月毛利率≤31%，特色档口月毛利率不作具体数额要求，但每月该食堂食材占食堂当月营业收入综合比例原则上不能低于50%（如上级有明确要求，须遵照执行）。（毛利率计算方式：毛利率=（销售额-食材采购成本-水电气能源成本-设施设备维修维护成本）/营业额）*100%）。</w:t>
      </w:r>
    </w:p>
    <w:p w14:paraId="194D8247">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2.基本劳务服务费用发放标准如下，每月按照如下标准进行预发，年底汇总考核进行补扣和补发：</w:t>
      </w:r>
    </w:p>
    <w:p w14:paraId="283E7CBB">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（1）基本大伙月度毛利率及满意度（≥80%）同时达标则按照合同约定的中标取费率*当月营业额拨付劳务服务团队劳务服务费用。</w:t>
      </w:r>
    </w:p>
    <w:p w14:paraId="734E0E4F">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（2）基本大伙月度毛利率不达标时，按照当月营业额*[取费率-基本大伙月度毛利率超标百分比数值]的标准拨付劳务服务团队劳务服务费用。</w:t>
      </w:r>
    </w:p>
    <w:p w14:paraId="2BCB8E33">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月度毛利率结余资金统一归集至甲方财务专项账户留存，专项用于调剂弥补其他月份基本大伙运营成本超支缺口；年末统一核算全年度月均毛利率，若整体平均毛利率达到管控标准，再按规定全额或按比例补发不达标对应月份的劳务服务费。</w:t>
      </w:r>
    </w:p>
    <w:p w14:paraId="737C9BA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（4）受到不可抗力因素影响导致食材等直接成本增加等原因造成毛利率不达标时，按照应达到日均的营业额标准计算当月营业额*取费率进行拨付。</w:t>
      </w:r>
    </w:p>
    <w:p w14:paraId="6E8120DC">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5）年底核算日均营业额，核算时如日均营业额不达标，则按比例扣减劳务服务团队劳务服务费用，扣减金额为：合同约定的营业额*（1-实际日均营业额/合同约定的最低日均营业额）。扣减金额在年度核算时进行扣缴。（寒暑假值班人员劳务费用按照合同约定的营业额占比的标准进行拨付，不纳入考核）</w:t>
      </w:r>
    </w:p>
    <w:p w14:paraId="3C3CCE39">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6）劳务服务费用拨付后由乙方按照岗位，按照乙方投标承诺比例及乙方确定的具体岗位薪资标准分配劳务人员工资，将工资台账每月报备至甲方后勤部门、财务部门进行审核。乙方可以根据每月收支情况自行确定绩效考核方案，提升员工从业积极性。</w:t>
      </w:r>
    </w:p>
    <w:p w14:paraId="45C6180D">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7）每月由甲方自营食堂项目管理工作小组（由甲方纪委、工会、团委、后勤和乙方等共同组成）开展服务质量满意度问卷调查（参与对象：师生学生总数不少于200人次），满意度低于80%以下按营业额1%扣减劳务服务团队劳务服务费用。</w:t>
      </w:r>
    </w:p>
    <w:p w14:paraId="69055615">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(8)月度毛利率、满意度均不达标时，累积最多扣减月度营业款比例不超过1%。</w:t>
      </w:r>
    </w:p>
    <w:p w14:paraId="06EA77E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（二）劳务基础绩效标准及发放</w:t>
      </w:r>
    </w:p>
    <w:p w14:paraId="32A2B38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劳务基础绩效资金来源：每月提取营业款的2%作为额外基础绩效考核资金。</w:t>
      </w:r>
    </w:p>
    <w:p w14:paraId="0F25DBBB">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发放对象：乙方。</w:t>
      </w:r>
    </w:p>
    <w:p w14:paraId="2AE4001E">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劳务服务基础绩效考核标准如下：</w:t>
      </w:r>
    </w:p>
    <w:p w14:paraId="285B6503">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1.月度日均营业额达到或超过日均营业额标准时计发40%的当月基础绩效。</w:t>
      </w:r>
    </w:p>
    <w:p w14:paraId="096FAC2C">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2.月度毛利率达标时（毛利率标准区间内），计发30%的当月度基础绩效。</w:t>
      </w:r>
    </w:p>
    <w:p w14:paraId="16EAD4C0">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每月由甲方自营食堂项目管理工作小组（由甲方纪委、工会、团委、后勤和乙方等共同组成）开展服务质量满意度问卷调查（参与对象：师生学生总数不少于200人次），满意度大于等于90%计发30%的当月基础绩效。</w:t>
      </w:r>
    </w:p>
    <w:p w14:paraId="2A699087">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4.当月发生食品安全事故或者接受上级检查发现问题造成较大影响的，扣除当月的所有基础绩效发放，情节严重的追究乙方企业经济责任和法律责任，并终止合同。</w:t>
      </w:r>
    </w:p>
    <w:p w14:paraId="3218B6FB">
      <w:pPr>
        <w:spacing w:beforeLines="0" w:afterLines="0" w:line="480" w:lineRule="exact"/>
        <w:ind w:firstLine="441" w:firstLineChars="157"/>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（四）其他财务相关事项</w:t>
      </w:r>
    </w:p>
    <w:p w14:paraId="40347B52">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1.食材采购费用每月月底按照甲方流程要求做好财务账目上报甲方后勤和财务等相关职能部门进行审核（对账，供应商账单和食堂账单核对）并支付至相关供应商。</w:t>
      </w:r>
    </w:p>
    <w:p w14:paraId="16A632D5">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2.每月水电燃气费用纳入食堂成本核算，其中，水电费由甲方后勤服务中心能源服务部进行按实核算，燃气费用由甲方后勤服务中心饮食服务部负责办理缴费并结算。</w:t>
      </w:r>
    </w:p>
    <w:p w14:paraId="2313F41F">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3.食堂基础设施维修、食堂每学期固定的油烟抽排系统和油水分离池清洗及“灭四害”专项费用由甲方承担。乙方办公、宣传等费用由乙方承担。</w:t>
      </w:r>
    </w:p>
    <w:p w14:paraId="3D439FCF">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4.付款方式：劳务人员工资、考核奖励和食堂物资配送供应商货款按约定的时间（工资按月、奖励绩效按年）支付，乙方开具符合国家税务要求的票据，提供劳务工资台账、成本核算资料及佐证材料按照甲方流程开展资金支付。</w:t>
      </w:r>
    </w:p>
    <w:p w14:paraId="61C1EE38">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5.所有食材采购由甲方统一管理，所有食材采购用料人需在甲方公开招标确定的食堂物资配送供应商采购。连锁品牌特色餐饮项目的品牌核心食材（含主辅料），可以按照品牌运营方要求进行采购，但所有收支进甲方财务统一管理。甲方及乙方双方仓库管理员根据约定的配送时间开展物资验货、入库和出库，确保全过程留痕。即采即用的物资（蔬菜、鲜肉等）无需入库，但需由仓管验收，货物送达后直接现场验收使用（但必须登记台账，平台上留痕，按要求上传验收照片）；采购入库的物资（大米、食用油、冻品类、鸡蛋、干货调料等）由供应商送入仓库验收入库。食堂所有物资采购货款由甲方计划财务处统一对账后每月按时支付给食堂物资配送方。</w:t>
      </w:r>
    </w:p>
    <w:p w14:paraId="7B09F5FE">
      <w:pPr>
        <w:pStyle w:val="6"/>
        <w:adjustRightInd w:val="0"/>
        <w:snapToGrid w:val="0"/>
        <w:spacing w:beforeLines="0" w:afterLines="0" w:line="480" w:lineRule="exact"/>
        <w:ind w:firstLine="596" w:firstLineChars="200"/>
        <w:rPr>
          <w:rFonts w:hint="eastAsia" w:ascii="仿宋_GB2312" w:hAnsi="仿宋_GB2312" w:eastAsia="仿宋_GB2312" w:cs="仿宋_GB2312"/>
          <w:color w:val="auto"/>
          <w:spacing w:val="9"/>
          <w:sz w:val="28"/>
          <w:szCs w:val="28"/>
        </w:rPr>
      </w:pPr>
      <w:r>
        <w:rPr>
          <w:rFonts w:hint="eastAsia" w:ascii="仿宋_GB2312" w:hAnsi="仿宋_GB2312" w:eastAsia="仿宋_GB2312" w:cs="仿宋_GB2312"/>
          <w:color w:val="auto"/>
          <w:spacing w:val="9"/>
          <w:sz w:val="28"/>
          <w:szCs w:val="28"/>
        </w:rPr>
        <w:t>6.食堂所有窗口必须使用甲方现有的一卡通系统进行收银(特殊情况需申报甲方后勤主管部门批准），开展统一财务管理，严禁私自收银，如有违反每次处罚2000元。</w:t>
      </w:r>
    </w:p>
    <w:p w14:paraId="18F5F0B2">
      <w:pPr>
        <w:spacing w:beforeLines="0" w:afterLines="0" w:line="48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五、合同期限及保证金</w:t>
      </w:r>
      <w:r>
        <w:rPr>
          <w:rFonts w:hint="eastAsia" w:ascii="仿宋_GB2312" w:hAnsi="仿宋_GB2312" w:eastAsia="仿宋_GB2312" w:cs="仿宋_GB2312"/>
          <w:color w:val="auto"/>
          <w:sz w:val="28"/>
          <w:szCs w:val="28"/>
        </w:rPr>
        <w:t xml:space="preserve">  </w:t>
      </w:r>
    </w:p>
    <w:p w14:paraId="112E5553">
      <w:pPr>
        <w:pStyle w:val="10"/>
        <w:spacing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本项目合同期限为3年（从2026年9月至2029年8月）。但是，甲方有权根据上一年度乙方履约情况决定是否提前解除合同；如甲方提前解除合同的，乙方无权要求赔偿或补偿。</w:t>
      </w:r>
    </w:p>
    <w:p w14:paraId="2E173569">
      <w:pPr>
        <w:pStyle w:val="10"/>
        <w:spacing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乙方应当在收到中标通知书后5个工作日内缴纳采购项目预算</w:t>
      </w:r>
      <w:r>
        <w:rPr>
          <w:rFonts w:hint="eastAsia" w:ascii="仿宋_GB2312" w:hAnsi="仿宋_GB2312" w:eastAsia="仿宋_GB2312" w:cs="仿宋_GB2312"/>
          <w:color w:val="FF0000"/>
          <w:sz w:val="28"/>
          <w:szCs w:val="28"/>
        </w:rPr>
        <w:t>金额的</w:t>
      </w:r>
      <w:r>
        <w:rPr>
          <w:rFonts w:hint="eastAsia" w:ascii="仿宋_GB2312" w:hAnsi="仿宋_GB2312" w:eastAsia="仿宋_GB2312" w:cs="仿宋_GB2312"/>
          <w:color w:val="auto"/>
          <w:sz w:val="28"/>
          <w:szCs w:val="28"/>
        </w:rPr>
        <w:t>3%的履约保证金，乙方应当以支票、汇票、本票或者银行独立保函等非现金形式提交。合同终止后无债权债务纠纷无息退还）。</w:t>
      </w:r>
    </w:p>
    <w:p w14:paraId="04DC7EDD">
      <w:pPr>
        <w:spacing w:beforeLines="0" w:afterLines="0" w:line="480" w:lineRule="exact"/>
        <w:ind w:firstLine="560"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sz w:val="28"/>
          <w:szCs w:val="28"/>
        </w:rPr>
        <w:t>六、</w:t>
      </w:r>
      <w:r>
        <w:rPr>
          <w:rFonts w:hint="eastAsia" w:ascii="仿宋_GB2312" w:hAnsi="仿宋_GB2312" w:eastAsia="仿宋_GB2312" w:cs="仿宋_GB2312"/>
          <w:b/>
          <w:color w:val="auto"/>
          <w:sz w:val="28"/>
          <w:szCs w:val="28"/>
        </w:rPr>
        <w:t>支付时间与方式</w:t>
      </w:r>
    </w:p>
    <w:p w14:paraId="4B88D4E1">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1．乙方应于每月7日前向甲方提供经甲方食堂管理部门确认的上月《人员考勤表》、《食堂利润及成本分析表》及符合甲方要求的正规发票（发票项目劳务费），用于申请支付上月基本劳务服务费。</w:t>
      </w:r>
    </w:p>
    <w:p w14:paraId="0BA6BDEA">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2.甲方在收到乙方提供的合格结算资料及发票后，及时完成审核，审核后甲方在10个工作日内通过银行转账方式将上月基本劳务服务费支付至乙方指定的银行账户。</w:t>
      </w:r>
    </w:p>
    <w:p w14:paraId="1BB76AF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3.乙方年度奖励绩效在甲方考核合格后及时支付给乙方。</w:t>
      </w:r>
    </w:p>
    <w:p w14:paraId="6D43FEDF">
      <w:pPr>
        <w:spacing w:beforeLines="0" w:afterLines="0" w:line="48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七、其他禁止性条款</w:t>
      </w:r>
    </w:p>
    <w:p w14:paraId="13E1174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严禁乙方对项目进行分包、转包。</w:t>
      </w:r>
    </w:p>
    <w:p w14:paraId="2945CA12">
      <w:pPr>
        <w:spacing w:beforeLines="0" w:afterLines="0" w:line="48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八、双方权利与义务</w:t>
      </w:r>
    </w:p>
    <w:p w14:paraId="74EF9EFD">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（一）甲方权利与义务</w:t>
      </w:r>
    </w:p>
    <w:p w14:paraId="7DD51430">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1.甲方应确保提供甲方办理的有效期内食品经营许可证，保证乙方能按时开展工作。</w:t>
      </w:r>
    </w:p>
    <w:p w14:paraId="779A1E9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为乙方员工提供必要的工作场所、生产工具、用品用具、设备（大型厨具、灶具、冰箱、消毒柜等）及食堂运营所需水、电、燃气及食材、调料等（本合同另有约定的除外）基础运营资源。甲方为乙方现场负责人提供必要的办公场所和条件。</w:t>
      </w:r>
    </w:p>
    <w:p w14:paraId="398F6E0D">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3.甲方制定并公示食堂的各项管理制度、操作规程（特别是食品安全制度）、劳动纪律，并对乙方员工进行相关要求的培训和必要的操作指导。</w:t>
      </w:r>
    </w:p>
    <w:p w14:paraId="64CDDAFA">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4.甲方负责对乙方员工的工作进行调度，和服务质量、安全卫生、遵章守纪情况现场监督管理、考核评价，并提出整改意见或人员更换要求。</w:t>
      </w:r>
    </w:p>
    <w:p w14:paraId="0AFB708B">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5.甲方按合同约定及时向乙方支付服务费用。</w:t>
      </w:r>
    </w:p>
    <w:p w14:paraId="68266A5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6.甲方为乙方员工在甲方工作期间提供符合国家规定的劳动安全卫生条件。</w:t>
      </w:r>
    </w:p>
    <w:p w14:paraId="13D9BA18">
      <w:pPr>
        <w:spacing w:beforeLines="0" w:afterLines="0" w:line="480" w:lineRule="exact"/>
        <w:ind w:firstLine="560" w:firstLineChars="200"/>
        <w:rPr>
          <w:rFonts w:hint="eastAsia" w:ascii="仿宋_GB2312" w:hAnsi="仿宋_GB2312" w:eastAsia="仿宋_GB2312" w:cs="仿宋_GB2312"/>
          <w:color w:val="auto"/>
          <w:sz w:val="28"/>
          <w:szCs w:val="28"/>
        </w:rPr>
      </w:pPr>
      <w:bookmarkStart w:id="0" w:name="OLE_LINK8"/>
      <w:r>
        <w:rPr>
          <w:rFonts w:hint="eastAsia" w:ascii="仿宋_GB2312" w:hAnsi="仿宋_GB2312" w:eastAsia="仿宋_GB2312" w:cs="仿宋_GB2312"/>
          <w:color w:val="auto"/>
          <w:sz w:val="28"/>
          <w:szCs w:val="28"/>
        </w:rPr>
        <w:t>7.甲方应配合乙方协调处理食堂运营中与政府职能部门、甲方其他职能部门的相关事宜。</w:t>
      </w:r>
      <w:bookmarkEnd w:id="0"/>
    </w:p>
    <w:p w14:paraId="2B60942D">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8.当原材料采购价格或水电燃气价格上涨幅度异常（参考政府部门指导性文件标准），甲方可启用平抑基金或调整餐品售价或者毛利率要求标准，否则，仍应当按照上涨前的价格核算毛利率。</w:t>
      </w:r>
    </w:p>
    <w:p w14:paraId="33085A9B">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9.甲方为食堂购买食品安全相关保险和公众责任险。</w:t>
      </w:r>
    </w:p>
    <w:p w14:paraId="7AB4D3E6">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（二）乙方权利与义务</w:t>
      </w:r>
    </w:p>
    <w:p w14:paraId="391388D5">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1.乙方严格按照合同约定及甲方要求，提供足额、合格、稳定的劳务人员，并确保人员到岗率满足食堂运营需求。</w:t>
      </w:r>
    </w:p>
    <w:p w14:paraId="29A3A369">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与其所派往甲方食堂提供服务的所有劳务人员（以下简称“乙方员工”）建立劳动关系（或符合法律规定的其他用工关系），依法签订劳动合同（或协议），办理用工登记，承担《中华人民共和国劳动合同法》等法律法规规定的用人单位主体责任（包括但不限于：招聘、培训、签订合同、支付薪酬福利、缴纳社保、处理工伤/劳动争议等）。</w:t>
      </w:r>
    </w:p>
    <w:p w14:paraId="1CBA79F7">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负责乙方员工的政治思想、职业道德、劳动纪律、安全生产（特别是食品安全操作规范），负责乙方员工的招聘、录用、培训（包括岗前培训、食品安全培训、消防安全培训等）、薪酬福利的核算与发放、个人所得税代扣代缴、人事档案管理、劳动争议处理等一切雇主责任。</w:t>
      </w:r>
    </w:p>
    <w:p w14:paraId="694EC575">
      <w:pPr>
        <w:spacing w:beforeLines="0" w:afterLines="0" w:line="480" w:lineRule="exact"/>
        <w:ind w:firstLine="579" w:firstLineChars="207"/>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4.乙方员工在工作期间应遵守甲方食堂管理部门的各项规章制度，服从管理，包括但不限于甲方每月组织的考核以及日常监督检查，接受甲方食堂日常检查中提出的意见并及时整改。</w:t>
      </w:r>
    </w:p>
    <w:p w14:paraId="5344B37D">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5.乙方现场负责人应积极配合甲方的工作，及时沟通协调解决服务过程中出现的问题。乙方应配合甲方协调处理食堂运营中与政府职能部门、甲方其他职能部门的相关的事宜。</w:t>
      </w:r>
    </w:p>
    <w:p w14:paraId="33A35FE7">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乙方须按照甲方管理要求对乙方人员进行管理，对甲方提出的人员更换、增减等要求及时响应，乙方员工在甲方食堂工作期间发生的劳动纠纷、工伤事故、职业病、人身损害赔偿等均由乙方承担全部责任（除因甲方过错和不可抗力因素原因外）；如因此给甲方造成损失（包括但不限于赔偿金、罚款、声誉损失等），乙方应负责赔偿。</w:t>
      </w:r>
    </w:p>
    <w:p w14:paraId="58B95356">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7.乙方负责服务团队人员的居住（含寝具、住宿等）、交通等生活事宜，提供必要的劳动防护用品（如手套、围裙、套袖等）。</w:t>
      </w:r>
    </w:p>
    <w:p w14:paraId="02A7334A">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乙方应建立健全各项规章制度、岗位责任制、操作规程和各项台账，合同签订10个工作日内提交管理组织架构图、岗位设置和人员分配表、岗位职责、岗位工作标准和流程、安全管理制度（食品安全、现场安全）、卫生管理制度、应急管理制度和应急预案、员工考勤和休假制度、人员更换和调整制度，在项目运行中，如与甲方相关制度有冲突的，需按甲方要求予以适当调整。</w:t>
      </w:r>
    </w:p>
    <w:p w14:paraId="205BB8C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9.乙方应提供一套仓库进销存系统，配合甲方做好食堂食材采购申报、验收、领用与保管工作，杜绝偷盗和丢失等现象并严格遵守相关工作纪律。</w:t>
      </w:r>
    </w:p>
    <w:p w14:paraId="76FC983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10.乙方需自觉遵守《中华人民共和国反食品浪费法》，自觉树立节约意识，合理利用边角余料，杜绝食材浪费，同时根据甲方的要求做好成本控制。</w:t>
      </w:r>
    </w:p>
    <w:p w14:paraId="32E54D9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11.乙方需保守在服务过程中知悉的甲方的商业秘密（包括经营信息、管理方式、学生信息等）。</w:t>
      </w:r>
    </w:p>
    <w:p w14:paraId="1EDCF9A9">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12.乙方需按时向甲方提供准确、完整的结算资料和正规发票。</w:t>
      </w:r>
    </w:p>
    <w:p w14:paraId="4F88F9C4">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乙方必须在本合同终止后7个工作日内全面完成清场、退场工作。乙方应按规定与其聘用的劳动者结清工资、社会保险、补偿等各种劳资和经济结算工作，乙方不得遗留任何劳资和经济纠纷给甲方。乙方退场前需要将进场时使用的房屋、设备设施和其它财产在7个工作日内完整地向甲方无条件返还（以进场时确认的财产和设备清单为准，正常报废的除外），乙方返还的房屋应完好无损，返还的设备设施应运行良好。乙方未按本条款规定履行，造成甲方损失的，乙方应予以相关的经济赔偿。</w:t>
      </w:r>
    </w:p>
    <w:p w14:paraId="48F77AE0">
      <w:pPr>
        <w:spacing w:beforeLines="0" w:afterLines="0" w:line="48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九、违约责任</w:t>
      </w:r>
    </w:p>
    <w:p w14:paraId="67D7FE8D">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1.甲方违约：若甲方未按合同约定按时足额支付服务费，每逾期一日，应按应付未付金额的万分之一向乙方支付违约金。</w:t>
      </w:r>
    </w:p>
    <w:p w14:paraId="49D22EC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2.乙方违约：乙方如发生下列违约行为之一者，甲方可单方面解除本合同、没收全部履约保证金，如给甲方造成其他损失的，甲方有权向乙方追偿：</w:t>
      </w:r>
    </w:p>
    <w:p w14:paraId="46B11216">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（1）乙方在经营过程中发生无故非正常停餐，造成重大影响的。</w:t>
      </w:r>
    </w:p>
    <w:p w14:paraId="29E3BAAB">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（2）乙方在投标、经营过程中营私舞弊,给甲方利益造成损失，损失金额累计超过拾万元的。</w:t>
      </w:r>
    </w:p>
    <w:p w14:paraId="62FBA659">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（3）乙方在经营活动中发生食物中毒或其它安全责任事故的。</w:t>
      </w:r>
    </w:p>
    <w:p w14:paraId="0222A2B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（4）乙方在食堂经营过程中由于饭菜价格、质量、份量等遭到甲方师生集体、集中投诉，影响较大且造成严重后果的。</w:t>
      </w:r>
    </w:p>
    <w:p w14:paraId="5F25B16B">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（5）乙方在经营过程中未经甲方同意出现将经营场地转包或分包或与第三方合作经营的。</w:t>
      </w:r>
    </w:p>
    <w:p w14:paraId="1FAE034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（6）乙方未经甲方书面同意改变本合同约定的食堂用途或经营项目的。</w:t>
      </w:r>
    </w:p>
    <w:p w14:paraId="1238DC3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（7）乙方所经营的食堂被新闻媒体曝光对甲方声誉造成负面影响的。</w:t>
      </w:r>
    </w:p>
    <w:p w14:paraId="628F96F5">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（8）乙方在经营过程中诽谤、诋毁甲方，对甲方声誉造成负面影响的。</w:t>
      </w:r>
    </w:p>
    <w:p w14:paraId="450787D0">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（9）乙方违反甲方集中采购制度或所使用的各种原材料以及所供应的食品不符合《食品安全法》的要求，甲方要求乙方进行整改，乙方拒不整改或整改后还是达不到要求的。</w:t>
      </w:r>
    </w:p>
    <w:p w14:paraId="65D79565">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（10）乙方在经营过程中无故私自收取餐费，一年累计达到三次的。</w:t>
      </w:r>
    </w:p>
    <w:p w14:paraId="06C624D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（11）连续两个月师生就餐满意率没有达到80%，或者全年超过3个月就餐满意率没有达到80%的。</w:t>
      </w:r>
    </w:p>
    <w:p w14:paraId="20A5CBB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（12）因乙方违反法律法规及有关政策规定，导致甲方受到行政处罚的。</w:t>
      </w:r>
    </w:p>
    <w:p w14:paraId="7123255E">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（13）因乙方违约导致甲方向第三方承担赔偿责任、垫付款或导致甲方遭受其他损失，乙方未能及时赔付甲方的。</w:t>
      </w:r>
    </w:p>
    <w:p w14:paraId="54EF4BD9">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4.任何一方严重违约导致合同目的无法实现，守约方有权书面通知对方解除本合同。合同解除不免除违约方的违约责任。</w:t>
      </w:r>
    </w:p>
    <w:p w14:paraId="654CB8B7">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5.违约方因违约给对方造成损失的（包括直接经济损失以及合理的律师费、诉讼费、差旅费等维权费用损失），应当予以赔偿。</w:t>
      </w:r>
    </w:p>
    <w:p w14:paraId="3B3B360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6.合同中约定的其他违约责任。</w:t>
      </w:r>
    </w:p>
    <w:p w14:paraId="3309D7CC">
      <w:pPr>
        <w:spacing w:beforeLines="0" w:afterLines="0" w:line="48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十、合同的生效、变更、解除和终止</w:t>
      </w:r>
    </w:p>
    <w:p w14:paraId="55F74045">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1.本合同自签订之日起生效，甲乙双方不得随意变更。合同变更时，须甲乙双方协商一致达成新的书面合同。</w:t>
      </w:r>
    </w:p>
    <w:p w14:paraId="1F47B9A3">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2.合同期内，如因国家政策、法律法规调整等因素导致本合同无法继续履行时，本合同自行终止，双方互不承担违约责任。</w:t>
      </w:r>
    </w:p>
    <w:p w14:paraId="3FF73184">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3.出现以下任一情况时，本合同终止</w:t>
      </w:r>
    </w:p>
    <w:p w14:paraId="24ABF380">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（1）合同期限届满。</w:t>
      </w:r>
    </w:p>
    <w:p w14:paraId="12DD6180">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（2）任何一方依照本合同的约定单方解除合同。</w:t>
      </w:r>
    </w:p>
    <w:p w14:paraId="0B3632E2">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（3）任何一方依照法律规定单方解除合同。</w:t>
      </w:r>
    </w:p>
    <w:p w14:paraId="06B97101">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4.出现本合同第九条第2款约定的情况，甲方单方面解除本合同的，自解除通知送达乙方时生效。</w:t>
      </w:r>
    </w:p>
    <w:p w14:paraId="386F177A">
      <w:pPr>
        <w:pStyle w:val="7"/>
        <w:adjustRightInd w:val="0"/>
        <w:snapToGrid w:val="0"/>
        <w:spacing w:beforeLines="0" w:afterLines="0" w:line="48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十一、组成合同的文件</w:t>
      </w:r>
    </w:p>
    <w:p w14:paraId="558DA86F">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本合同与下列文件一起构成合同文件，如文件之间有任何抵触、矛盾或歧义，按以下顺序解释：</w:t>
      </w:r>
    </w:p>
    <w:p w14:paraId="6A3D412E">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（1）在采购或合同履行过程中乙方作出的承诺以及双方协商达成的变更或补充合同</w:t>
      </w:r>
    </w:p>
    <w:p w14:paraId="1EC8F8C3">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（2）本合同</w:t>
      </w:r>
    </w:p>
    <w:p w14:paraId="36899C1E">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（3）中标通知书</w:t>
      </w:r>
    </w:p>
    <w:p w14:paraId="3BF70CD0">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（4）乙方投标文件</w:t>
      </w:r>
    </w:p>
    <w:p w14:paraId="0C7F805B">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（5）政府采购合同专用条款</w:t>
      </w:r>
    </w:p>
    <w:p w14:paraId="7C944D10">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（6）政府采购合同通用条款</w:t>
      </w:r>
    </w:p>
    <w:p w14:paraId="0E632D95">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（7）标准、规范及有关技术文件，图纸</w:t>
      </w:r>
    </w:p>
    <w:p w14:paraId="014D5D4E">
      <w:pPr>
        <w:spacing w:beforeLines="0" w:afterLines="0" w:line="480" w:lineRule="exact"/>
        <w:ind w:firstLine="560" w:firstLineChars="200"/>
        <w:rPr>
          <w:rFonts w:hint="eastAsia" w:ascii="仿宋_GB2312" w:hAnsi="仿宋_GB2312" w:eastAsia="仿宋_GB2312" w:cs="仿宋_GB2312"/>
          <w:color w:val="auto"/>
          <w:kern w:val="0"/>
          <w:sz w:val="28"/>
          <w:szCs w:val="28"/>
          <w:lang w:bidi="ar"/>
        </w:rPr>
      </w:pPr>
      <w:r>
        <w:rPr>
          <w:rFonts w:hint="eastAsia" w:ascii="仿宋_GB2312" w:hAnsi="仿宋_GB2312" w:eastAsia="仿宋_GB2312" w:cs="仿宋_GB2312"/>
          <w:color w:val="auto"/>
          <w:kern w:val="0"/>
          <w:sz w:val="28"/>
          <w:szCs w:val="28"/>
          <w:lang w:bidi="ar"/>
        </w:rPr>
        <w:t>（8）其他合同文件</w:t>
      </w:r>
    </w:p>
    <w:p w14:paraId="231A6D8B">
      <w:pPr>
        <w:spacing w:beforeLines="0" w:afterLines="0" w:line="48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十二、其他（争议解决）</w:t>
      </w:r>
    </w:p>
    <w:p w14:paraId="1E411509">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1.甲方招标文件、乙方投标文件具有同行法律效力。</w:t>
      </w:r>
    </w:p>
    <w:p w14:paraId="373CDE63">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2.本合同未尽事宜，双方可另行签订补充协议，补充协议与本合同具有同等法律效力。</w:t>
      </w:r>
    </w:p>
    <w:p w14:paraId="6968672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3.本协议未尽事宜，由甲乙双方协商解决。在协议履行过程中，若甲乙双方发生争议，首先应协商解决，经协商不能达成一致意见时，任何一方可依法向甲方所在地人民法院提起诉讼。</w:t>
      </w:r>
    </w:p>
    <w:p w14:paraId="79C67FEF">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4.本合同一式陆份，甲方执肆份，乙方执贰份。</w:t>
      </w:r>
    </w:p>
    <w:p w14:paraId="23CA770C">
      <w:pPr>
        <w:spacing w:beforeLines="0" w:afterLines="0" w:line="48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5.本合同自双方签订之日起生效。</w:t>
      </w:r>
    </w:p>
    <w:p w14:paraId="3DF8E091">
      <w:pPr>
        <w:pStyle w:val="2"/>
        <w:spacing w:beforeLines="0" w:afterLines="0"/>
        <w:rPr>
          <w:rFonts w:hint="eastAsia" w:ascii="仿宋" w:hAnsi="仿宋" w:eastAsia="仿宋" w:cs="仿宋"/>
          <w:color w:val="auto"/>
          <w:sz w:val="30"/>
          <w:szCs w:val="30"/>
        </w:rPr>
      </w:pPr>
    </w:p>
    <w:p w14:paraId="738C5945">
      <w:pPr>
        <w:spacing w:beforeLines="0" w:afterLines="0"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甲方（盖单位公章）：           乙方（盖单位公章）：                         </w:t>
      </w:r>
    </w:p>
    <w:p w14:paraId="064C6C7D">
      <w:pPr>
        <w:tabs>
          <w:tab w:val="left" w:pos="4200"/>
        </w:tabs>
        <w:spacing w:beforeLines="0" w:afterLines="0"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法定代表人：                   法定代表人：</w:t>
      </w:r>
    </w:p>
    <w:p w14:paraId="71395D16">
      <w:pPr>
        <w:tabs>
          <w:tab w:val="left" w:pos="4200"/>
        </w:tabs>
        <w:spacing w:beforeLines="0" w:afterLines="0"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(或授权代表)：                 (或授权代表)：</w:t>
      </w:r>
    </w:p>
    <w:p w14:paraId="00E22DC6">
      <w:pPr>
        <w:spacing w:beforeLines="0" w:afterLines="0" w:line="400" w:lineRule="exact"/>
        <w:ind w:left="4480" w:hanging="4480" w:hangingChars="1600"/>
        <w:rPr>
          <w:rFonts w:hint="eastAsia" w:ascii="仿宋" w:hAnsi="仿宋" w:eastAsia="仿宋" w:cs="仿宋"/>
          <w:color w:val="auto"/>
          <w:sz w:val="28"/>
          <w:szCs w:val="28"/>
        </w:rPr>
      </w:pPr>
      <w:r>
        <w:rPr>
          <w:rFonts w:hint="eastAsia" w:ascii="仿宋" w:hAnsi="仿宋" w:eastAsia="仿宋" w:cs="仿宋"/>
          <w:color w:val="auto"/>
          <w:sz w:val="28"/>
          <w:szCs w:val="28"/>
        </w:rPr>
        <w:t>地  址：湖南省永州市零陵区     地  址：</w:t>
      </w:r>
    </w:p>
    <w:p w14:paraId="063DD5C1">
      <w:pPr>
        <w:spacing w:beforeLines="0" w:afterLines="0" w:line="400" w:lineRule="exact"/>
        <w:ind w:left="4480" w:hanging="4480" w:hangingChars="1600"/>
        <w:rPr>
          <w:rFonts w:hint="eastAsia" w:ascii="仿宋" w:hAnsi="仿宋" w:eastAsia="仿宋" w:cs="仿宋"/>
          <w:color w:val="auto"/>
          <w:sz w:val="28"/>
          <w:szCs w:val="28"/>
        </w:rPr>
      </w:pPr>
      <w:r>
        <w:rPr>
          <w:rFonts w:hint="eastAsia" w:ascii="仿宋" w:hAnsi="仿宋" w:eastAsia="仿宋" w:cs="仿宋"/>
          <w:color w:val="auto"/>
          <w:sz w:val="28"/>
          <w:szCs w:val="28"/>
        </w:rPr>
        <w:t xml:space="preserve">杨梓塘路130号      </w:t>
      </w:r>
    </w:p>
    <w:p w14:paraId="1D4B8F3A">
      <w:pPr>
        <w:spacing w:beforeLines="0" w:afterLines="0" w:line="400" w:lineRule="exact"/>
        <w:ind w:left="4480" w:hanging="4480" w:hangingChars="1600"/>
        <w:rPr>
          <w:rFonts w:hint="eastAsia" w:ascii="仿宋" w:hAnsi="仿宋" w:eastAsia="仿宋" w:cs="仿宋"/>
          <w:color w:val="auto"/>
          <w:sz w:val="28"/>
          <w:szCs w:val="28"/>
        </w:rPr>
      </w:pPr>
      <w:r>
        <w:rPr>
          <w:rFonts w:hint="eastAsia" w:ascii="仿宋" w:hAnsi="仿宋" w:eastAsia="仿宋" w:cs="仿宋"/>
          <w:color w:val="auto"/>
          <w:sz w:val="28"/>
          <w:szCs w:val="28"/>
        </w:rPr>
        <w:t>电  话： 0746-6381425          电  话：</w:t>
      </w:r>
    </w:p>
    <w:p w14:paraId="66F3E5E7">
      <w:pPr>
        <w:spacing w:beforeLines="0" w:afterLines="0"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开户行：工商银行永州零陵支行   开户行：</w:t>
      </w:r>
    </w:p>
    <w:p w14:paraId="6BAA575E">
      <w:pPr>
        <w:spacing w:beforeLines="0" w:afterLines="0"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账  号：1910020409200064956    账  号：</w:t>
      </w:r>
    </w:p>
    <w:p w14:paraId="26802318">
      <w:pPr>
        <w:spacing w:beforeLines="0" w:afterLines="0" w:line="400" w:lineRule="exact"/>
        <w:rPr>
          <w:rFonts w:hint="default"/>
          <w:color w:val="auto"/>
          <w:sz w:val="28"/>
          <w:szCs w:val="24"/>
        </w:rPr>
      </w:pPr>
      <w:r>
        <w:rPr>
          <w:rFonts w:hint="eastAsia" w:ascii="仿宋" w:hAnsi="仿宋" w:eastAsia="仿宋" w:cs="仿宋"/>
          <w:color w:val="auto"/>
          <w:sz w:val="28"/>
          <w:szCs w:val="28"/>
        </w:rPr>
        <w:t>签字日期：   年  月  日        签字日期：    年  月  日</w:t>
      </w:r>
    </w:p>
    <w:p w14:paraId="551050B0"/>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81D8B25-AC01-45D1-84C5-9526FECC9D05}"/>
  </w:font>
  <w:font w:name="方正小标宋_GBK">
    <w:panose1 w:val="02000000000000000000"/>
    <w:charset w:val="86"/>
    <w:family w:val="auto"/>
    <w:pitch w:val="default"/>
    <w:sig w:usb0="A00002BF" w:usb1="38CF7CFA" w:usb2="00082016" w:usb3="00000000" w:csb0="00040001" w:csb1="00000000"/>
    <w:embedRegular r:id="rId2" w:fontKey="{B769CC3F-57E2-495D-9DFA-9DA2B808029C}"/>
  </w:font>
  <w:font w:name="楷体">
    <w:panose1 w:val="02010609060101010101"/>
    <w:charset w:val="86"/>
    <w:family w:val="modern"/>
    <w:pitch w:val="default"/>
    <w:sig w:usb0="800002BF" w:usb1="38CF7CFA" w:usb2="00000016" w:usb3="00000000" w:csb0="00040001" w:csb1="00000000"/>
    <w:embedRegular r:id="rId3" w:fontKey="{8A1EE57D-5C46-4219-A5BE-975ADE9D2EE1}"/>
  </w:font>
  <w:font w:name="仿宋">
    <w:panose1 w:val="02010609060101010101"/>
    <w:charset w:val="86"/>
    <w:family w:val="auto"/>
    <w:pitch w:val="default"/>
    <w:sig w:usb0="800002BF" w:usb1="38CF7CFA" w:usb2="00000016" w:usb3="00000000" w:csb0="00040001" w:csb1="00000000"/>
    <w:embedRegular r:id="rId4" w:fontKey="{05A86D37-C754-4624-9AB7-0C76C89D1F18}"/>
  </w:font>
  <w:font w:name="仿宋_GB2312">
    <w:altName w:val="仿宋"/>
    <w:panose1 w:val="02010609030101010101"/>
    <w:charset w:val="86"/>
    <w:family w:val="auto"/>
    <w:pitch w:val="default"/>
    <w:sig w:usb0="00000000" w:usb1="00000000" w:usb2="00000000" w:usb3="00000000" w:csb0="00040000" w:csb1="00000000"/>
    <w:embedRegular r:id="rId5" w:fontKey="{BF42E89F-F519-4DDA-8657-E6C8E67172FE}"/>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75F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1"/>
    <w:basedOn w:val="3"/>
    <w:unhideWhenUsed/>
    <w:qFormat/>
    <w:uiPriority w:val="0"/>
    <w:pPr>
      <w:spacing w:before="120" w:beforeLines="0" w:after="120" w:afterLines="0"/>
    </w:pPr>
    <w:rPr>
      <w:rFonts w:hint="default" w:ascii="Arial" w:hAnsi="Arial" w:eastAsia="宋体" w:cs="Arial"/>
      <w:sz w:val="24"/>
      <w:szCs w:val="24"/>
    </w:rPr>
  </w:style>
  <w:style w:type="paragraph" w:customStyle="1" w:styleId="3">
    <w:name w:val="Normal_1"/>
    <w:next w:val="2"/>
    <w:unhideWhenUsed/>
    <w:qFormat/>
    <w:uiPriority w:val="0"/>
    <w:pPr>
      <w:spacing w:beforeLines="0" w:afterLines="0"/>
    </w:pPr>
    <w:rPr>
      <w:rFonts w:hint="default"/>
      <w:sz w:val="24"/>
      <w:szCs w:val="24"/>
      <w:lang w:val="en-US" w:eastAsia="zh-CN" w:bidi="ar-SA"/>
    </w:rPr>
  </w:style>
  <w:style w:type="paragraph" w:customStyle="1" w:styleId="6">
    <w:name w:val="正文_0"/>
    <w:basedOn w:val="7"/>
    <w:unhideWhenUsed/>
    <w:qFormat/>
    <w:uiPriority w:val="0"/>
    <w:pPr>
      <w:spacing w:beforeLines="0" w:afterLines="0"/>
    </w:pPr>
    <w:rPr>
      <w:rFonts w:hint="default"/>
      <w:sz w:val="21"/>
      <w:szCs w:val="24"/>
    </w:rPr>
  </w:style>
  <w:style w:type="paragraph" w:customStyle="1" w:styleId="7">
    <w:name w:val="正文_1"/>
    <w:next w:val="8"/>
    <w:unhideWhenUsed/>
    <w:qFormat/>
    <w:uiPriority w:val="0"/>
    <w:pPr>
      <w:widowControl w:val="0"/>
      <w:spacing w:beforeLines="0" w:afterLines="0"/>
      <w:jc w:val="both"/>
    </w:pPr>
    <w:rPr>
      <w:rFonts w:hint="default" w:ascii="Times New Roman" w:hAnsi="Times New Roman" w:eastAsia="宋体"/>
      <w:kern w:val="2"/>
      <w:sz w:val="21"/>
      <w:szCs w:val="24"/>
      <w:lang w:val="en-US" w:eastAsia="zh-CN" w:bidi="ar-SA"/>
    </w:rPr>
  </w:style>
  <w:style w:type="paragraph" w:customStyle="1" w:styleId="8">
    <w:name w:val="正文文本_0"/>
    <w:basedOn w:val="6"/>
    <w:next w:val="9"/>
    <w:unhideWhenUsed/>
    <w:qFormat/>
    <w:uiPriority w:val="0"/>
    <w:pPr>
      <w:spacing w:beforeLines="0" w:after="120" w:afterLines="0"/>
    </w:pPr>
    <w:rPr>
      <w:rFonts w:hint="default"/>
      <w:sz w:val="21"/>
      <w:szCs w:val="24"/>
    </w:rPr>
  </w:style>
  <w:style w:type="paragraph" w:customStyle="1" w:styleId="9">
    <w:name w:val="正文_5"/>
    <w:unhideWhenUsed/>
    <w:qFormat/>
    <w:uiPriority w:val="0"/>
    <w:pPr>
      <w:widowControl w:val="0"/>
      <w:spacing w:beforeLines="0" w:afterLines="0"/>
      <w:jc w:val="both"/>
    </w:pPr>
    <w:rPr>
      <w:rFonts w:hint="default" w:ascii="Calibri" w:hAnsi="Calibri" w:eastAsia="宋体"/>
      <w:kern w:val="2"/>
      <w:sz w:val="21"/>
      <w:szCs w:val="24"/>
      <w:lang w:val="en-US" w:eastAsia="zh-CN" w:bidi="ar-SA"/>
    </w:rPr>
  </w:style>
  <w:style w:type="paragraph" w:customStyle="1" w:styleId="10">
    <w:name w:val="批注文字_0"/>
    <w:basedOn w:val="6"/>
    <w:unhideWhenUsed/>
    <w:qFormat/>
    <w:uiPriority w:val="0"/>
    <w:pPr>
      <w:jc w:val="left"/>
    </w:pPr>
    <w:rPr>
      <w:rFonts w:hint="default"/>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2026-08-04T10:18:00Z</dcterms:created>
  <dc:creator>代理</dc:creator>
  <cp:lastModifiedBy>代理</cp:lastModifiedBy>
  <dcterms:modified xsi:type="dcterms:W3CDTF">2026-08-04T10:19:14Z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68E330D47D3B42D6BCBD59BF92611749_11</vt:lpwstr>
  </property>
  <property fmtid="{D5CDD505-2E9C-101B-9397-08002B2CF9AE}" pid="4" name="KSOTemplateDocerSaveRecord">
    <vt:lpwstr>eyJoZGlkIjoiMjczZTM4YTUxYzliNzY4YzliYThlN2M5ZjhhNzM0NmYiLCJ1c2VySWQiOiIzMTE0NTU4MjAifQ==</vt:lpwstr>
  </property>
</Properties>
</file>