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82E0B">
      <w:pPr>
        <w:pStyle w:val="5"/>
        <w:jc w:val="left"/>
        <w:outlineLvl w:val="1"/>
        <w:rPr>
          <w:rStyle w:val="3"/>
          <w:rFonts w:ascii="Times New Roman" w:hAnsi="Times New Roman" w:eastAsia="宋体" w:cs="Times New Roman"/>
        </w:rPr>
      </w:pPr>
      <w:r>
        <w:rPr>
          <w:rStyle w:val="3"/>
          <w:rFonts w:ascii="宋体" w:hAnsi="宋体" w:eastAsia="宋体" w:cs="宋体"/>
          <w:b w:val="0"/>
          <w:sz w:val="32"/>
        </w:rPr>
        <w:t>外业检测过程规范化管理方案</w:t>
      </w:r>
    </w:p>
    <w:p w14:paraId="5ABA05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2B1477FA"/>
    <w:rsid w:val="302C2998"/>
    <w:rsid w:val="543B24BE"/>
    <w:rsid w:val="55922A70"/>
    <w:rsid w:val="58B0040F"/>
    <w:rsid w:val="5C20728C"/>
    <w:rsid w:val="79B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7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68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1B52CC2AC63B4BE8817D8CDBC90CC88B_13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