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0B6E3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十二、投标人认为需提供的其他资料</w:t>
      </w:r>
    </w:p>
    <w:p w14:paraId="57AA361F">
      <w:pPr>
        <w:widowControl w:val="0"/>
        <w:adjustRightInd w:val="0"/>
        <w:snapToGrid w:val="0"/>
        <w:spacing w:before="156" w:beforeLines="50" w:line="360" w:lineRule="auto"/>
        <w:rPr>
          <w:rFonts w:ascii="宋体"/>
          <w:szCs w:val="24"/>
        </w:rPr>
      </w:pPr>
    </w:p>
    <w:p w14:paraId="114E0FBC">
      <w:pPr>
        <w:widowControl w:val="0"/>
        <w:adjustRightInd w:val="0"/>
        <w:snapToGrid w:val="0"/>
        <w:spacing w:before="156" w:beforeLines="50" w:line="360" w:lineRule="auto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备注：投标人认为需提供的其他资料包括</w:t>
      </w:r>
      <w:r>
        <w:rPr>
          <w:rFonts w:hint="eastAsia" w:ascii="宋体" w:hAnsi="宋体"/>
          <w:szCs w:val="24"/>
          <w:lang w:val="en-US" w:eastAsia="zh-CN"/>
        </w:rPr>
        <w:t>但不限于</w:t>
      </w:r>
      <w:r>
        <w:rPr>
          <w:rFonts w:hint="eastAsia" w:ascii="宋体" w:hAnsi="宋体"/>
          <w:szCs w:val="24"/>
        </w:rPr>
        <w:t>：</w:t>
      </w:r>
    </w:p>
    <w:p w14:paraId="757DD2C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</w:t>
      </w:r>
      <w:r>
        <w:rPr>
          <w:rFonts w:hint="eastAsia" w:ascii="宋体" w:hAnsi="宋体"/>
          <w:szCs w:val="24"/>
        </w:rPr>
        <w:t>）招标文件第五章采购需求要求的其他资料；</w:t>
      </w:r>
    </w:p>
    <w:p w14:paraId="516ED851"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</w:t>
      </w:r>
      <w:r>
        <w:rPr>
          <w:rFonts w:hint="eastAsia" w:ascii="宋体" w:hAnsi="宋体"/>
          <w:szCs w:val="24"/>
        </w:rPr>
        <w:t>）招标文件第四章评标方法及标准要求的其他相关资料。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2026-07-31T03:22:38Z</dcterms:created>
  <dc:creator>Administrator</dc:creator>
  <cp:lastModifiedBy>Administrator</cp:lastModifiedBy>
  <dcterms:modified xsi:type="dcterms:W3CDTF">2026-07-31T03:22:45Z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93BE21ADACBA4473B56B60630ABB19A7_12</vt:lpwstr>
  </property>
</Properties>
</file>