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3CDEFC">
      <w:pPr>
        <w:jc w:val="center"/>
        <w:outlineLvl w:val="1"/>
        <w:rPr>
          <w:rFonts w:hint="eastAsia" w:ascii="Calibri" w:hAnsi="Calibri" w:eastAsia="宋体" w:cs="Times New Roman"/>
          <w:color w:val="auto"/>
          <w:highlight w:val="none"/>
          <w:lang w:val="en-US" w:eastAsia="zh-Hans"/>
        </w:rPr>
      </w:pPr>
      <w:r>
        <w:rPr>
          <w:rFonts w:hint="eastAsia" w:ascii="仿宋_GB2312" w:hAnsi="仿宋_GB2312" w:eastAsia="仿宋_GB2312" w:cs="仿宋_GB2312"/>
          <w:b/>
          <w:color w:val="auto"/>
          <w:sz w:val="36"/>
          <w:highlight w:val="none"/>
          <w:lang w:val="en-US" w:eastAsia="zh-Hans"/>
        </w:rPr>
        <w:t>第五章 采购需求</w:t>
      </w:r>
    </w:p>
    <w:p w14:paraId="166B9E80">
      <w:pPr>
        <w:jc w:val="center"/>
        <w:outlineLvl w:val="2"/>
        <w:rPr>
          <w:rFonts w:hint="eastAsia" w:ascii="Calibri" w:hAnsi="Calibri" w:eastAsia="宋体" w:cs="Times New Roman"/>
          <w:color w:val="auto"/>
          <w:highlight w:val="none"/>
          <w:lang w:val="en-US" w:eastAsia="zh-Hans"/>
        </w:rPr>
      </w:pPr>
      <w:r>
        <w:rPr>
          <w:rFonts w:hint="eastAsia" w:ascii="仿宋_GB2312" w:hAnsi="仿宋_GB2312" w:eastAsia="仿宋_GB2312" w:cs="仿宋_GB2312"/>
          <w:b/>
          <w:color w:val="auto"/>
          <w:sz w:val="28"/>
          <w:highlight w:val="none"/>
          <w:lang w:val="en-US" w:eastAsia="zh-Hans"/>
        </w:rPr>
        <w:t>第一节 采购清单一览表</w:t>
      </w:r>
    </w:p>
    <w:p w14:paraId="75C1EA5D">
      <w:pPr>
        <w:ind w:firstLine="480"/>
        <w:jc w:val="left"/>
        <w:rPr>
          <w:rFonts w:hint="eastAsia" w:ascii="Calibri" w:hAnsi="Calibri" w:eastAsia="仿宋_GB2312" w:cs="Times New Roman"/>
          <w:color w:val="auto"/>
          <w:highlight w:val="none"/>
          <w:lang w:val="en-US" w:eastAsia="zh-CN"/>
        </w:rPr>
      </w:pPr>
      <w:r>
        <w:rPr>
          <w:rFonts w:hint="eastAsia" w:ascii="仿宋_GB2312" w:hAnsi="仿宋_GB2312" w:eastAsia="仿宋_GB2312" w:cs="仿宋_GB2312"/>
          <w:color w:val="auto"/>
          <w:highlight w:val="none"/>
          <w:lang w:val="en-US" w:eastAsia="zh-Hans"/>
        </w:rPr>
        <w:t xml:space="preserve">1、采购项目名称： </w:t>
      </w:r>
      <w:r>
        <w:rPr>
          <w:rFonts w:hint="eastAsia" w:ascii="仿宋_GB2312" w:hAnsi="仿宋_GB2312" w:eastAsia="仿宋_GB2312" w:cs="仿宋_GB2312"/>
          <w:color w:val="auto"/>
          <w:highlight w:val="none"/>
          <w:lang w:val="en-US" w:eastAsia="zh-CN"/>
        </w:rPr>
        <w:t>基于深度学习视觉的多自由度协作机器人系统</w:t>
      </w:r>
    </w:p>
    <w:p w14:paraId="4BB0A4A9">
      <w:pPr>
        <w:ind w:firstLine="480"/>
        <w:jc w:val="left"/>
        <w:rPr>
          <w:rFonts w:hint="eastAsia" w:ascii="Calibri" w:hAnsi="Calibri" w:eastAsia="宋体" w:cs="Times New Roman"/>
          <w:color w:val="auto"/>
          <w:highlight w:val="none"/>
          <w:lang w:val="en-US" w:eastAsia="zh-Hans"/>
        </w:rPr>
      </w:pPr>
      <w:r>
        <w:rPr>
          <w:rFonts w:hint="eastAsia" w:ascii="仿宋_GB2312" w:hAnsi="仿宋_GB2312" w:eastAsia="仿宋_GB2312" w:cs="仿宋_GB2312"/>
          <w:color w:val="auto"/>
          <w:highlight w:val="none"/>
          <w:lang w:val="en-US" w:eastAsia="zh-Hans"/>
        </w:rPr>
        <w:t xml:space="preserve">2、政府采购编号： </w:t>
      </w:r>
    </w:p>
    <w:p w14:paraId="7218D777">
      <w:pPr>
        <w:ind w:firstLine="480"/>
        <w:jc w:val="left"/>
        <w:rPr>
          <w:rFonts w:hint="eastAsia" w:ascii="Calibri" w:hAnsi="Calibri" w:eastAsia="宋体" w:cs="Times New Roman"/>
          <w:color w:val="auto"/>
          <w:highlight w:val="none"/>
          <w:lang w:val="en-US" w:eastAsia="zh-Hans"/>
        </w:rPr>
      </w:pPr>
      <w:r>
        <w:rPr>
          <w:rFonts w:hint="eastAsia" w:ascii="仿宋_GB2312" w:hAnsi="仿宋_GB2312" w:eastAsia="仿宋_GB2312" w:cs="仿宋_GB2312"/>
          <w:color w:val="auto"/>
          <w:highlight w:val="none"/>
          <w:lang w:val="en-US" w:eastAsia="zh-Hans"/>
        </w:rPr>
        <w:t xml:space="preserve">3、采购代理编号： </w:t>
      </w:r>
    </w:p>
    <w:p w14:paraId="25DEC9C0">
      <w:pPr>
        <w:ind w:firstLine="480"/>
        <w:jc w:val="left"/>
        <w:rPr>
          <w:rFonts w:hint="eastAsia" w:ascii="Calibri" w:hAnsi="Calibri" w:eastAsia="宋体" w:cs="Times New Roman"/>
          <w:color w:val="auto"/>
          <w:highlight w:val="none"/>
          <w:lang w:val="en-US" w:eastAsia="zh-Hans"/>
        </w:rPr>
      </w:pPr>
      <w:r>
        <w:rPr>
          <w:rFonts w:hint="eastAsia" w:ascii="仿宋_GB2312" w:hAnsi="仿宋_GB2312" w:eastAsia="仿宋_GB2312" w:cs="仿宋_GB2312"/>
          <w:color w:val="auto"/>
          <w:highlight w:val="none"/>
          <w:lang w:val="en-US" w:eastAsia="zh-Hans"/>
        </w:rPr>
        <w:t xml:space="preserve">4、采购项目预算： </w:t>
      </w:r>
      <w:r>
        <w:rPr>
          <w:rFonts w:hint="eastAsia" w:ascii="仿宋_GB2312" w:hAnsi="仿宋_GB2312" w:eastAsia="仿宋_GB2312" w:cs="仿宋_GB2312"/>
          <w:color w:val="auto"/>
          <w:highlight w:val="none"/>
          <w:lang w:val="en-US" w:eastAsia="zh-CN"/>
        </w:rPr>
        <w:t>1070000.00</w:t>
      </w:r>
      <w:r>
        <w:rPr>
          <w:rFonts w:hint="eastAsia" w:ascii="仿宋_GB2312" w:hAnsi="仿宋_GB2312" w:eastAsia="仿宋_GB2312" w:cs="仿宋_GB2312"/>
          <w:color w:val="auto"/>
          <w:highlight w:val="none"/>
          <w:lang w:val="en-US" w:eastAsia="zh-Hans"/>
        </w:rPr>
        <w:t>元</w:t>
      </w:r>
    </w:p>
    <w:p w14:paraId="252EBB63">
      <w:pPr>
        <w:ind w:firstLine="480"/>
        <w:jc w:val="left"/>
        <w:rPr>
          <w:rFonts w:hint="eastAsia" w:ascii="Calibri" w:hAnsi="Calibri" w:eastAsia="宋体" w:cs="Times New Roman"/>
          <w:color w:val="auto"/>
          <w:highlight w:val="none"/>
          <w:lang w:val="en-US" w:eastAsia="zh-Hans"/>
        </w:rPr>
      </w:pPr>
      <w:r>
        <w:rPr>
          <w:rFonts w:hint="eastAsia" w:ascii="仿宋_GB2312" w:hAnsi="仿宋_GB2312" w:eastAsia="仿宋_GB2312" w:cs="仿宋_GB2312"/>
          <w:color w:val="auto"/>
          <w:highlight w:val="none"/>
          <w:lang w:val="en-US" w:eastAsia="zh-Hans"/>
        </w:rPr>
        <w:t>5、采购标的</w:t>
      </w:r>
    </w:p>
    <w:p w14:paraId="7EE0D553">
      <w:pPr>
        <w:jc w:val="left"/>
        <w:rPr>
          <w:rFonts w:hint="eastAsia" w:ascii="Calibri" w:hAnsi="Calibri" w:eastAsia="宋体" w:cs="Times New Roman"/>
          <w:color w:val="auto"/>
          <w:highlight w:val="none"/>
          <w:lang w:val="en-US" w:eastAsia="zh-Hans"/>
        </w:rPr>
      </w:pPr>
      <w:r>
        <w:rPr>
          <w:rFonts w:hint="eastAsia" w:ascii="仿宋_GB2312" w:hAnsi="仿宋_GB2312" w:eastAsia="仿宋_GB2312" w:cs="仿宋_GB2312"/>
          <w:color w:val="auto"/>
          <w:highlight w:val="none"/>
          <w:lang w:val="en-US" w:eastAsia="zh-Hans"/>
        </w:rPr>
        <w:t>采购包1：</w:t>
      </w:r>
    </w:p>
    <w:p w14:paraId="2FB78AC3">
      <w:pPr>
        <w:jc w:val="left"/>
        <w:rPr>
          <w:rFonts w:hint="eastAsia" w:ascii="Calibri" w:hAnsi="Calibri" w:eastAsia="仿宋_GB2312" w:cs="Times New Roman"/>
          <w:color w:val="auto"/>
          <w:highlight w:val="none"/>
          <w:lang w:val="en-US" w:eastAsia="zh-CN"/>
        </w:rPr>
      </w:pPr>
      <w:r>
        <w:rPr>
          <w:rFonts w:hint="eastAsia" w:ascii="仿宋_GB2312" w:hAnsi="仿宋_GB2312" w:eastAsia="仿宋_GB2312" w:cs="仿宋_GB2312"/>
          <w:color w:val="auto"/>
          <w:highlight w:val="none"/>
          <w:lang w:val="en-US" w:eastAsia="zh-Hans"/>
        </w:rPr>
        <w:t xml:space="preserve">采购包预算金额（元）: </w:t>
      </w:r>
      <w:r>
        <w:rPr>
          <w:rFonts w:hint="eastAsia" w:ascii="仿宋_GB2312" w:hAnsi="仿宋_GB2312" w:eastAsia="仿宋_GB2312" w:cs="仿宋_GB2312"/>
          <w:color w:val="auto"/>
          <w:highlight w:val="none"/>
          <w:lang w:val="en-US" w:eastAsia="zh-CN"/>
        </w:rPr>
        <w:t>1070</w:t>
      </w:r>
      <w:bookmarkStart w:id="0" w:name="_GoBack"/>
      <w:bookmarkEnd w:id="0"/>
      <w:r>
        <w:rPr>
          <w:rFonts w:hint="eastAsia" w:ascii="仿宋_GB2312" w:hAnsi="仿宋_GB2312" w:eastAsia="仿宋_GB2312" w:cs="仿宋_GB2312"/>
          <w:color w:val="auto"/>
          <w:highlight w:val="none"/>
          <w:lang w:val="en-US" w:eastAsia="zh-CN"/>
        </w:rPr>
        <w:t>000.00</w:t>
      </w:r>
    </w:p>
    <w:p w14:paraId="23CA90D7">
      <w:pPr>
        <w:jc w:val="left"/>
        <w:rPr>
          <w:rFonts w:hint="eastAsia" w:ascii="Calibri" w:hAnsi="Calibri" w:eastAsia="仿宋_GB2312" w:cs="Times New Roman"/>
          <w:color w:val="auto"/>
          <w:highlight w:val="none"/>
          <w:lang w:val="en-US" w:eastAsia="zh-CN"/>
        </w:rPr>
      </w:pPr>
      <w:r>
        <w:rPr>
          <w:rFonts w:hint="eastAsia" w:ascii="仿宋_GB2312" w:hAnsi="仿宋_GB2312" w:eastAsia="仿宋_GB2312" w:cs="仿宋_GB2312"/>
          <w:color w:val="auto"/>
          <w:highlight w:val="none"/>
          <w:lang w:val="en-US" w:eastAsia="zh-Hans"/>
        </w:rPr>
        <w:t xml:space="preserve">采购包最高限价（元）: </w:t>
      </w:r>
      <w:r>
        <w:rPr>
          <w:rFonts w:hint="eastAsia" w:ascii="仿宋_GB2312" w:hAnsi="仿宋_GB2312" w:eastAsia="仿宋_GB2312" w:cs="仿宋_GB2312"/>
          <w:color w:val="auto"/>
          <w:highlight w:val="none"/>
          <w:lang w:val="en-US" w:eastAsia="zh-CN"/>
        </w:rPr>
        <w:t>1069000.00</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468"/>
        <w:gridCol w:w="1050"/>
        <w:gridCol w:w="1063"/>
        <w:gridCol w:w="850"/>
        <w:gridCol w:w="835"/>
        <w:gridCol w:w="709"/>
        <w:gridCol w:w="709"/>
        <w:gridCol w:w="709"/>
        <w:gridCol w:w="709"/>
        <w:gridCol w:w="710"/>
        <w:gridCol w:w="710"/>
      </w:tblGrid>
      <w:tr w14:paraId="1D93B2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68" w:type="dxa"/>
            <w:vAlign w:val="center"/>
          </w:tcPr>
          <w:p w14:paraId="4E4889FF">
            <w:pPr>
              <w:jc w:val="center"/>
              <w:rPr>
                <w:rFonts w:hint="eastAsia" w:ascii="Calibri" w:hAnsi="Calibri" w:eastAsia="宋体" w:cs="Times New Roman"/>
                <w:color w:val="auto"/>
                <w:highlight w:val="none"/>
                <w:lang w:val="en-US" w:eastAsia="zh-Hans"/>
              </w:rPr>
            </w:pPr>
            <w:r>
              <w:rPr>
                <w:rFonts w:hint="eastAsia" w:ascii="仿宋_GB2312" w:hAnsi="仿宋_GB2312" w:eastAsia="仿宋_GB2312" w:cs="仿宋_GB2312"/>
                <w:color w:val="auto"/>
                <w:highlight w:val="none"/>
                <w:lang w:val="en-US" w:eastAsia="zh-Hans"/>
              </w:rPr>
              <w:t>序号</w:t>
            </w:r>
          </w:p>
        </w:tc>
        <w:tc>
          <w:tcPr>
            <w:tcW w:w="1050" w:type="dxa"/>
            <w:vAlign w:val="center"/>
          </w:tcPr>
          <w:p w14:paraId="02636E9C">
            <w:pPr>
              <w:jc w:val="center"/>
              <w:rPr>
                <w:rFonts w:hint="eastAsia" w:ascii="Calibri" w:hAnsi="Calibri" w:eastAsia="宋体" w:cs="Times New Roman"/>
                <w:color w:val="auto"/>
                <w:highlight w:val="none"/>
                <w:lang w:val="en-US" w:eastAsia="zh-Hans"/>
              </w:rPr>
            </w:pPr>
            <w:r>
              <w:rPr>
                <w:rFonts w:hint="eastAsia" w:ascii="仿宋_GB2312" w:hAnsi="仿宋_GB2312" w:eastAsia="仿宋_GB2312" w:cs="仿宋_GB2312"/>
                <w:color w:val="auto"/>
                <w:highlight w:val="none"/>
                <w:lang w:val="en-US" w:eastAsia="zh-Hans"/>
              </w:rPr>
              <w:t>标的名称</w:t>
            </w:r>
          </w:p>
        </w:tc>
        <w:tc>
          <w:tcPr>
            <w:tcW w:w="1063" w:type="dxa"/>
            <w:vAlign w:val="center"/>
          </w:tcPr>
          <w:p w14:paraId="2D527E57">
            <w:pPr>
              <w:jc w:val="center"/>
              <w:rPr>
                <w:rFonts w:hint="eastAsia" w:ascii="Calibri" w:hAnsi="Calibri" w:eastAsia="宋体" w:cs="Times New Roman"/>
                <w:color w:val="auto"/>
                <w:highlight w:val="none"/>
                <w:lang w:val="en-US" w:eastAsia="zh-Hans"/>
              </w:rPr>
            </w:pPr>
            <w:r>
              <w:rPr>
                <w:rFonts w:hint="eastAsia" w:ascii="仿宋_GB2312" w:hAnsi="仿宋_GB2312" w:eastAsia="仿宋_GB2312" w:cs="仿宋_GB2312"/>
                <w:color w:val="auto"/>
                <w:highlight w:val="none"/>
                <w:lang w:val="en-US" w:eastAsia="zh-Hans"/>
              </w:rPr>
              <w:t>单价</w:t>
            </w:r>
          </w:p>
        </w:tc>
        <w:tc>
          <w:tcPr>
            <w:tcW w:w="850" w:type="dxa"/>
            <w:vAlign w:val="center"/>
          </w:tcPr>
          <w:p w14:paraId="58106005">
            <w:pPr>
              <w:jc w:val="center"/>
              <w:rPr>
                <w:rFonts w:hint="eastAsia" w:ascii="Calibri" w:hAnsi="Calibri" w:eastAsia="宋体" w:cs="Times New Roman"/>
                <w:color w:val="auto"/>
                <w:highlight w:val="none"/>
                <w:lang w:val="en-US" w:eastAsia="zh-Hans"/>
              </w:rPr>
            </w:pPr>
            <w:r>
              <w:rPr>
                <w:rFonts w:hint="eastAsia" w:ascii="仿宋_GB2312" w:hAnsi="仿宋_GB2312" w:eastAsia="仿宋_GB2312" w:cs="仿宋_GB2312"/>
                <w:color w:val="auto"/>
                <w:highlight w:val="none"/>
                <w:lang w:val="en-US" w:eastAsia="zh-Hans"/>
              </w:rPr>
              <w:t>数量（计量单位）</w:t>
            </w:r>
          </w:p>
        </w:tc>
        <w:tc>
          <w:tcPr>
            <w:tcW w:w="835" w:type="dxa"/>
            <w:vAlign w:val="center"/>
          </w:tcPr>
          <w:p w14:paraId="1A0F4590">
            <w:pPr>
              <w:jc w:val="center"/>
              <w:rPr>
                <w:rFonts w:hint="eastAsia" w:ascii="Calibri" w:hAnsi="Calibri" w:eastAsia="宋体" w:cs="Times New Roman"/>
                <w:color w:val="auto"/>
                <w:highlight w:val="none"/>
                <w:lang w:val="en-US" w:eastAsia="zh-Hans"/>
              </w:rPr>
            </w:pPr>
            <w:r>
              <w:rPr>
                <w:rFonts w:hint="eastAsia" w:ascii="仿宋_GB2312" w:hAnsi="仿宋_GB2312" w:eastAsia="仿宋_GB2312" w:cs="仿宋_GB2312"/>
                <w:color w:val="auto"/>
                <w:highlight w:val="none"/>
                <w:lang w:val="en-US" w:eastAsia="zh-Hans"/>
              </w:rPr>
              <w:t>标的金额 （元）</w:t>
            </w:r>
          </w:p>
        </w:tc>
        <w:tc>
          <w:tcPr>
            <w:tcW w:w="709" w:type="dxa"/>
            <w:vAlign w:val="center"/>
          </w:tcPr>
          <w:p w14:paraId="13C5E462">
            <w:pPr>
              <w:jc w:val="center"/>
              <w:rPr>
                <w:rFonts w:hint="eastAsia" w:ascii="Calibri" w:hAnsi="Calibri" w:eastAsia="宋体" w:cs="Times New Roman"/>
                <w:color w:val="auto"/>
                <w:highlight w:val="none"/>
                <w:lang w:val="en-US" w:eastAsia="zh-Hans"/>
              </w:rPr>
            </w:pPr>
            <w:r>
              <w:rPr>
                <w:rFonts w:hint="eastAsia" w:ascii="仿宋_GB2312" w:hAnsi="仿宋_GB2312" w:eastAsia="仿宋_GB2312" w:cs="仿宋_GB2312"/>
                <w:color w:val="auto"/>
                <w:highlight w:val="none"/>
                <w:lang w:val="en-US" w:eastAsia="zh-Hans"/>
              </w:rPr>
              <w:t>所属行业</w:t>
            </w:r>
          </w:p>
        </w:tc>
        <w:tc>
          <w:tcPr>
            <w:tcW w:w="709" w:type="dxa"/>
            <w:vAlign w:val="center"/>
          </w:tcPr>
          <w:p w14:paraId="29BB0A8D">
            <w:pPr>
              <w:jc w:val="center"/>
              <w:rPr>
                <w:rFonts w:hint="eastAsia" w:ascii="Calibri" w:hAnsi="Calibri" w:eastAsia="宋体" w:cs="Times New Roman"/>
                <w:color w:val="auto"/>
                <w:highlight w:val="none"/>
                <w:lang w:val="en-US" w:eastAsia="zh-Hans"/>
              </w:rPr>
            </w:pPr>
            <w:r>
              <w:rPr>
                <w:rFonts w:hint="eastAsia" w:ascii="仿宋_GB2312" w:hAnsi="仿宋_GB2312" w:eastAsia="仿宋_GB2312" w:cs="仿宋_GB2312"/>
                <w:color w:val="auto"/>
                <w:highlight w:val="none"/>
                <w:lang w:val="en-US" w:eastAsia="zh-Hans"/>
              </w:rPr>
              <w:t>是否核心产品</w:t>
            </w:r>
          </w:p>
        </w:tc>
        <w:tc>
          <w:tcPr>
            <w:tcW w:w="709" w:type="dxa"/>
            <w:vAlign w:val="center"/>
          </w:tcPr>
          <w:p w14:paraId="520C5B3C">
            <w:pPr>
              <w:jc w:val="center"/>
              <w:rPr>
                <w:rFonts w:hint="eastAsia" w:ascii="Calibri" w:hAnsi="Calibri" w:eastAsia="宋体" w:cs="Times New Roman"/>
                <w:color w:val="auto"/>
                <w:highlight w:val="none"/>
                <w:lang w:val="en-US" w:eastAsia="zh-Hans"/>
              </w:rPr>
            </w:pPr>
            <w:r>
              <w:rPr>
                <w:rFonts w:hint="eastAsia" w:ascii="仿宋_GB2312" w:hAnsi="仿宋_GB2312" w:eastAsia="仿宋_GB2312" w:cs="仿宋_GB2312"/>
                <w:color w:val="auto"/>
                <w:highlight w:val="none"/>
                <w:lang w:val="en-US" w:eastAsia="zh-Hans"/>
              </w:rPr>
              <w:t>是否允许进口产品</w:t>
            </w:r>
          </w:p>
        </w:tc>
        <w:tc>
          <w:tcPr>
            <w:tcW w:w="709" w:type="dxa"/>
            <w:vAlign w:val="center"/>
          </w:tcPr>
          <w:p w14:paraId="79892465">
            <w:pPr>
              <w:jc w:val="center"/>
              <w:rPr>
                <w:rFonts w:hint="eastAsia" w:ascii="Calibri" w:hAnsi="Calibri" w:eastAsia="宋体" w:cs="Times New Roman"/>
                <w:color w:val="auto"/>
                <w:highlight w:val="none"/>
                <w:lang w:val="en-US" w:eastAsia="zh-Hans"/>
              </w:rPr>
            </w:pPr>
            <w:r>
              <w:rPr>
                <w:rFonts w:hint="eastAsia" w:ascii="仿宋_GB2312" w:hAnsi="仿宋_GB2312" w:eastAsia="仿宋_GB2312" w:cs="仿宋_GB2312"/>
                <w:color w:val="auto"/>
                <w:highlight w:val="none"/>
                <w:lang w:val="en-US" w:eastAsia="zh-Hans"/>
              </w:rPr>
              <w:t>是否涉及优先采购环境标志产品</w:t>
            </w:r>
          </w:p>
        </w:tc>
        <w:tc>
          <w:tcPr>
            <w:tcW w:w="710" w:type="dxa"/>
            <w:vAlign w:val="center"/>
          </w:tcPr>
          <w:p w14:paraId="0FEE56EA">
            <w:pPr>
              <w:jc w:val="center"/>
              <w:rPr>
                <w:rFonts w:hint="eastAsia" w:ascii="Calibri" w:hAnsi="Calibri" w:eastAsia="宋体" w:cs="Times New Roman"/>
                <w:color w:val="auto"/>
                <w:highlight w:val="none"/>
                <w:lang w:val="en-US" w:eastAsia="zh-Hans"/>
              </w:rPr>
            </w:pPr>
            <w:r>
              <w:rPr>
                <w:rFonts w:hint="eastAsia" w:ascii="仿宋_GB2312" w:hAnsi="仿宋_GB2312" w:eastAsia="仿宋_GB2312" w:cs="仿宋_GB2312"/>
                <w:color w:val="auto"/>
                <w:highlight w:val="none"/>
                <w:lang w:val="en-US" w:eastAsia="zh-Hans"/>
              </w:rPr>
              <w:t>是否属于本国产品标准适用范围</w:t>
            </w:r>
          </w:p>
        </w:tc>
        <w:tc>
          <w:tcPr>
            <w:tcW w:w="710" w:type="dxa"/>
            <w:vAlign w:val="center"/>
          </w:tcPr>
          <w:p w14:paraId="59E877E2">
            <w:pPr>
              <w:jc w:val="center"/>
              <w:rPr>
                <w:rFonts w:hint="eastAsia" w:ascii="Calibri" w:hAnsi="Calibri" w:eastAsia="宋体" w:cs="Times New Roman"/>
                <w:color w:val="auto"/>
                <w:highlight w:val="none"/>
                <w:lang w:val="en-US" w:eastAsia="zh-Hans"/>
              </w:rPr>
            </w:pPr>
            <w:r>
              <w:rPr>
                <w:rFonts w:hint="eastAsia" w:ascii="仿宋_GB2312" w:hAnsi="仿宋_GB2312" w:eastAsia="仿宋_GB2312" w:cs="仿宋_GB2312"/>
                <w:color w:val="auto"/>
                <w:highlight w:val="none"/>
                <w:lang w:val="en-US" w:eastAsia="zh-Hans"/>
              </w:rPr>
              <w:t>是否涉及强制节能产品</w:t>
            </w:r>
          </w:p>
        </w:tc>
      </w:tr>
      <w:tr w14:paraId="054F1F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68" w:type="dxa"/>
            <w:vAlign w:val="center"/>
          </w:tcPr>
          <w:p w14:paraId="3F5B4650">
            <w:pPr>
              <w:jc w:val="center"/>
              <w:rPr>
                <w:rFonts w:hint="eastAsia" w:ascii="Calibri" w:hAnsi="Calibri" w:eastAsia="宋体" w:cs="Times New Roman"/>
                <w:color w:val="auto"/>
                <w:highlight w:val="none"/>
                <w:lang w:val="en-US" w:eastAsia="zh-Hans"/>
              </w:rPr>
            </w:pPr>
            <w:r>
              <w:rPr>
                <w:rFonts w:hint="eastAsia" w:ascii="仿宋_GB2312" w:hAnsi="仿宋_GB2312" w:eastAsia="仿宋_GB2312" w:cs="仿宋_GB2312"/>
                <w:color w:val="auto"/>
                <w:highlight w:val="none"/>
                <w:lang w:val="en-US" w:eastAsia="zh-Hans"/>
              </w:rPr>
              <w:t>1</w:t>
            </w:r>
          </w:p>
        </w:tc>
        <w:tc>
          <w:tcPr>
            <w:tcW w:w="1050" w:type="dxa"/>
            <w:vAlign w:val="center"/>
          </w:tcPr>
          <w:p w14:paraId="05B18E59">
            <w:pPr>
              <w:jc w:val="center"/>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基于深度学习视觉的应用开发实验箱</w:t>
            </w:r>
          </w:p>
        </w:tc>
        <w:tc>
          <w:tcPr>
            <w:tcW w:w="1063" w:type="dxa"/>
            <w:vAlign w:val="center"/>
          </w:tcPr>
          <w:p w14:paraId="4775491E">
            <w:pPr>
              <w:jc w:val="center"/>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51000.00</w:t>
            </w:r>
          </w:p>
        </w:tc>
        <w:tc>
          <w:tcPr>
            <w:tcW w:w="850" w:type="dxa"/>
            <w:vAlign w:val="center"/>
          </w:tcPr>
          <w:p w14:paraId="205CEF9B">
            <w:pPr>
              <w:jc w:val="center"/>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10（台）</w:t>
            </w:r>
          </w:p>
        </w:tc>
        <w:tc>
          <w:tcPr>
            <w:tcW w:w="835" w:type="dxa"/>
            <w:vAlign w:val="center"/>
          </w:tcPr>
          <w:p w14:paraId="2F0648A4">
            <w:pPr>
              <w:jc w:val="center"/>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510000.00</w:t>
            </w:r>
          </w:p>
        </w:tc>
        <w:tc>
          <w:tcPr>
            <w:tcW w:w="709" w:type="dxa"/>
            <w:vAlign w:val="center"/>
          </w:tcPr>
          <w:p w14:paraId="79071C7C">
            <w:pPr>
              <w:jc w:val="center"/>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工业</w:t>
            </w:r>
          </w:p>
        </w:tc>
        <w:tc>
          <w:tcPr>
            <w:tcW w:w="709" w:type="dxa"/>
            <w:vAlign w:val="center"/>
          </w:tcPr>
          <w:p w14:paraId="615FED26">
            <w:pPr>
              <w:jc w:val="center"/>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是</w:t>
            </w:r>
          </w:p>
        </w:tc>
        <w:tc>
          <w:tcPr>
            <w:tcW w:w="709" w:type="dxa"/>
            <w:vAlign w:val="center"/>
          </w:tcPr>
          <w:p w14:paraId="1066542E">
            <w:pPr>
              <w:jc w:val="center"/>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否</w:t>
            </w:r>
          </w:p>
        </w:tc>
        <w:tc>
          <w:tcPr>
            <w:tcW w:w="709" w:type="dxa"/>
            <w:vAlign w:val="center"/>
          </w:tcPr>
          <w:p w14:paraId="5AFE8D73">
            <w:pPr>
              <w:jc w:val="center"/>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否</w:t>
            </w:r>
          </w:p>
        </w:tc>
        <w:tc>
          <w:tcPr>
            <w:tcW w:w="710" w:type="dxa"/>
            <w:vAlign w:val="center"/>
          </w:tcPr>
          <w:p w14:paraId="6174E62D">
            <w:pPr>
              <w:jc w:val="center"/>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是</w:t>
            </w:r>
          </w:p>
        </w:tc>
        <w:tc>
          <w:tcPr>
            <w:tcW w:w="710" w:type="dxa"/>
            <w:vAlign w:val="center"/>
          </w:tcPr>
          <w:p w14:paraId="26AB8337">
            <w:pPr>
              <w:jc w:val="center"/>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否</w:t>
            </w:r>
          </w:p>
        </w:tc>
      </w:tr>
      <w:tr w14:paraId="6003BF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68" w:type="dxa"/>
            <w:vAlign w:val="center"/>
          </w:tcPr>
          <w:p w14:paraId="59DC1C61">
            <w:pPr>
              <w:jc w:val="center"/>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w:t>
            </w:r>
          </w:p>
        </w:tc>
        <w:tc>
          <w:tcPr>
            <w:tcW w:w="1050" w:type="dxa"/>
          </w:tcPr>
          <w:p w14:paraId="6882CBA4">
            <w:pPr>
              <w:jc w:val="center"/>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多自由度协作机器人系统</w:t>
            </w:r>
          </w:p>
        </w:tc>
        <w:tc>
          <w:tcPr>
            <w:tcW w:w="1063" w:type="dxa"/>
            <w:vAlign w:val="center"/>
          </w:tcPr>
          <w:p w14:paraId="50B454A5">
            <w:pPr>
              <w:jc w:val="center"/>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30000.00</w:t>
            </w:r>
          </w:p>
        </w:tc>
        <w:tc>
          <w:tcPr>
            <w:tcW w:w="850" w:type="dxa"/>
            <w:vAlign w:val="center"/>
          </w:tcPr>
          <w:p w14:paraId="716624AA">
            <w:pPr>
              <w:jc w:val="center"/>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18（台）</w:t>
            </w:r>
          </w:p>
        </w:tc>
        <w:tc>
          <w:tcPr>
            <w:tcW w:w="835" w:type="dxa"/>
            <w:shd w:val="clear" w:color="auto" w:fill="auto"/>
            <w:vAlign w:val="center"/>
          </w:tcPr>
          <w:p w14:paraId="62AA2325">
            <w:pPr>
              <w:jc w:val="center"/>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540000</w:t>
            </w:r>
          </w:p>
        </w:tc>
        <w:tc>
          <w:tcPr>
            <w:tcW w:w="709" w:type="dxa"/>
            <w:vAlign w:val="center"/>
          </w:tcPr>
          <w:p w14:paraId="67504730">
            <w:pPr>
              <w:jc w:val="center"/>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工业</w:t>
            </w:r>
          </w:p>
        </w:tc>
        <w:tc>
          <w:tcPr>
            <w:tcW w:w="709" w:type="dxa"/>
            <w:vAlign w:val="center"/>
          </w:tcPr>
          <w:p w14:paraId="0DE6752B">
            <w:pPr>
              <w:jc w:val="center"/>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否</w:t>
            </w:r>
          </w:p>
        </w:tc>
        <w:tc>
          <w:tcPr>
            <w:tcW w:w="709" w:type="dxa"/>
            <w:vAlign w:val="center"/>
          </w:tcPr>
          <w:p w14:paraId="6B874AAE">
            <w:pPr>
              <w:jc w:val="center"/>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否</w:t>
            </w:r>
          </w:p>
        </w:tc>
        <w:tc>
          <w:tcPr>
            <w:tcW w:w="709" w:type="dxa"/>
            <w:vAlign w:val="center"/>
          </w:tcPr>
          <w:p w14:paraId="5A3E4252">
            <w:pPr>
              <w:jc w:val="center"/>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否</w:t>
            </w:r>
          </w:p>
        </w:tc>
        <w:tc>
          <w:tcPr>
            <w:tcW w:w="710" w:type="dxa"/>
            <w:vAlign w:val="center"/>
          </w:tcPr>
          <w:p w14:paraId="60981B54">
            <w:pPr>
              <w:jc w:val="center"/>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是</w:t>
            </w:r>
          </w:p>
        </w:tc>
        <w:tc>
          <w:tcPr>
            <w:tcW w:w="710" w:type="dxa"/>
            <w:vAlign w:val="center"/>
          </w:tcPr>
          <w:p w14:paraId="085A4DA5">
            <w:pPr>
              <w:jc w:val="center"/>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否</w:t>
            </w:r>
          </w:p>
        </w:tc>
      </w:tr>
      <w:tr w14:paraId="5F09AC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68" w:type="dxa"/>
            <w:vAlign w:val="center"/>
          </w:tcPr>
          <w:p w14:paraId="72E5CE0E">
            <w:pPr>
              <w:jc w:val="center"/>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w:t>
            </w:r>
          </w:p>
        </w:tc>
        <w:tc>
          <w:tcPr>
            <w:tcW w:w="1050" w:type="dxa"/>
          </w:tcPr>
          <w:p w14:paraId="240A6C60">
            <w:pPr>
              <w:jc w:val="center"/>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机器人开发终端</w:t>
            </w:r>
          </w:p>
        </w:tc>
        <w:tc>
          <w:tcPr>
            <w:tcW w:w="1063" w:type="dxa"/>
            <w:vAlign w:val="center"/>
          </w:tcPr>
          <w:p w14:paraId="7B8FCB42">
            <w:pPr>
              <w:jc w:val="center"/>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9500.00</w:t>
            </w:r>
          </w:p>
        </w:tc>
        <w:tc>
          <w:tcPr>
            <w:tcW w:w="850" w:type="dxa"/>
            <w:vAlign w:val="center"/>
          </w:tcPr>
          <w:p w14:paraId="55E13C1F">
            <w:pPr>
              <w:jc w:val="center"/>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2（台）</w:t>
            </w:r>
          </w:p>
        </w:tc>
        <w:tc>
          <w:tcPr>
            <w:tcW w:w="835" w:type="dxa"/>
            <w:vAlign w:val="center"/>
          </w:tcPr>
          <w:p w14:paraId="677FE5C5">
            <w:pPr>
              <w:jc w:val="center"/>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19000</w:t>
            </w:r>
          </w:p>
        </w:tc>
        <w:tc>
          <w:tcPr>
            <w:tcW w:w="709" w:type="dxa"/>
            <w:vAlign w:val="center"/>
          </w:tcPr>
          <w:p w14:paraId="7679DD41">
            <w:pPr>
              <w:jc w:val="center"/>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工业</w:t>
            </w:r>
          </w:p>
        </w:tc>
        <w:tc>
          <w:tcPr>
            <w:tcW w:w="709" w:type="dxa"/>
            <w:vAlign w:val="center"/>
          </w:tcPr>
          <w:p w14:paraId="360A43D5">
            <w:pPr>
              <w:jc w:val="center"/>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否</w:t>
            </w:r>
          </w:p>
        </w:tc>
        <w:tc>
          <w:tcPr>
            <w:tcW w:w="709" w:type="dxa"/>
            <w:vAlign w:val="center"/>
          </w:tcPr>
          <w:p w14:paraId="0EB87D6B">
            <w:pPr>
              <w:jc w:val="center"/>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否</w:t>
            </w:r>
          </w:p>
        </w:tc>
        <w:tc>
          <w:tcPr>
            <w:tcW w:w="709" w:type="dxa"/>
            <w:vAlign w:val="center"/>
          </w:tcPr>
          <w:p w14:paraId="0E522F39">
            <w:pPr>
              <w:jc w:val="center"/>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否</w:t>
            </w:r>
          </w:p>
        </w:tc>
        <w:tc>
          <w:tcPr>
            <w:tcW w:w="710" w:type="dxa"/>
            <w:vAlign w:val="center"/>
          </w:tcPr>
          <w:p w14:paraId="6A78BAE3">
            <w:pPr>
              <w:jc w:val="center"/>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是</w:t>
            </w:r>
          </w:p>
        </w:tc>
        <w:tc>
          <w:tcPr>
            <w:tcW w:w="710" w:type="dxa"/>
            <w:vAlign w:val="center"/>
          </w:tcPr>
          <w:p w14:paraId="56330204">
            <w:pPr>
              <w:jc w:val="center"/>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否</w:t>
            </w:r>
          </w:p>
        </w:tc>
      </w:tr>
    </w:tbl>
    <w:p w14:paraId="37C13DF2">
      <w:pPr>
        <w:ind w:firstLine="480"/>
        <w:jc w:val="left"/>
        <w:rPr>
          <w:rFonts w:hint="eastAsia" w:ascii="Calibri" w:hAnsi="Calibri" w:eastAsia="宋体" w:cs="Times New Roman"/>
          <w:color w:val="auto"/>
          <w:highlight w:val="none"/>
          <w:lang w:val="en-US" w:eastAsia="zh-Hans"/>
        </w:rPr>
      </w:pPr>
      <w:r>
        <w:rPr>
          <w:rFonts w:hint="eastAsia" w:ascii="仿宋_GB2312" w:hAnsi="仿宋_GB2312" w:eastAsia="仿宋_GB2312" w:cs="仿宋_GB2312"/>
          <w:color w:val="auto"/>
          <w:highlight w:val="none"/>
          <w:lang w:val="en-US" w:eastAsia="zh-Hans"/>
        </w:rPr>
        <w:t>注：1、“包”为最小合同单位（最小投标单位）。每“包”内容应细化到“品目”（如果分品目的）。</w:t>
      </w:r>
    </w:p>
    <w:p w14:paraId="1FCAAEA7">
      <w:pPr>
        <w:ind w:firstLine="480"/>
        <w:jc w:val="left"/>
        <w:rPr>
          <w:rFonts w:hint="eastAsia" w:ascii="Calibri" w:hAnsi="Calibri" w:eastAsia="宋体" w:cs="Times New Roman"/>
          <w:color w:val="auto"/>
          <w:highlight w:val="none"/>
          <w:lang w:val="en-US" w:eastAsia="zh-Hans"/>
        </w:rPr>
      </w:pPr>
      <w:r>
        <w:rPr>
          <w:rFonts w:hint="eastAsia" w:ascii="仿宋_GB2312" w:hAnsi="仿宋_GB2312" w:eastAsia="仿宋_GB2312" w:cs="仿宋_GB2312"/>
          <w:color w:val="auto"/>
          <w:highlight w:val="none"/>
          <w:lang w:val="en-US" w:eastAsia="zh-Hans"/>
        </w:rPr>
        <w:t>2、投标人必须对一个完整、独立的包进行投标，不得仅对一个包中的部分品目投标，否则投标无效。</w:t>
      </w:r>
    </w:p>
    <w:p w14:paraId="2C72D9D7">
      <w:pPr>
        <w:ind w:firstLine="480"/>
        <w:jc w:val="left"/>
        <w:rPr>
          <w:rFonts w:hint="eastAsia" w:ascii="Calibri" w:hAnsi="Calibri" w:eastAsia="宋体" w:cs="Times New Roman"/>
          <w:color w:val="auto"/>
          <w:highlight w:val="none"/>
          <w:lang w:val="en-US" w:eastAsia="zh-Hans"/>
        </w:rPr>
      </w:pPr>
      <w:r>
        <w:rPr>
          <w:rFonts w:hint="eastAsia" w:ascii="仿宋_GB2312" w:hAnsi="仿宋_GB2312" w:eastAsia="仿宋_GB2312" w:cs="仿宋_GB2312"/>
          <w:color w:val="auto"/>
          <w:highlight w:val="none"/>
          <w:lang w:val="en-US" w:eastAsia="zh-Hans"/>
        </w:rPr>
        <w:t>3、货物的主要技术参数或规格：详见“技术要求”中的具体技术参数。</w:t>
      </w:r>
    </w:p>
    <w:p w14:paraId="2CB691E1">
      <w:pPr>
        <w:ind w:firstLine="480"/>
        <w:jc w:val="left"/>
        <w:rPr>
          <w:rFonts w:hint="eastAsia" w:ascii="Calibri" w:hAnsi="Calibri" w:eastAsia="宋体" w:cs="Times New Roman"/>
          <w:color w:val="auto"/>
          <w:highlight w:val="none"/>
          <w:lang w:val="en-US" w:eastAsia="zh-Hans"/>
        </w:rPr>
      </w:pPr>
      <w:r>
        <w:rPr>
          <w:rFonts w:hint="eastAsia" w:ascii="仿宋_GB2312" w:hAnsi="仿宋_GB2312" w:eastAsia="仿宋_GB2312" w:cs="仿宋_GB2312"/>
          <w:color w:val="auto"/>
          <w:highlight w:val="none"/>
          <w:lang w:val="en-US" w:eastAsia="zh-Hans"/>
        </w:rPr>
        <w:t>4、投标人（含服务中有货物的）应在投标文件《分项报价明细表》中按分项项目名称（包括条目号/品目名称）顺序逐项填写，且每个品目中的条目均需按招标文件规定报价。如有缺项、漏项，其投标无效。</w:t>
      </w:r>
    </w:p>
    <w:p w14:paraId="3DD819A5">
      <w:pPr>
        <w:ind w:firstLine="480"/>
        <w:jc w:val="left"/>
        <w:rPr>
          <w:rFonts w:hint="eastAsia" w:ascii="Calibri" w:hAnsi="Calibri" w:eastAsia="宋体" w:cs="Times New Roman"/>
          <w:color w:val="auto"/>
          <w:highlight w:val="none"/>
          <w:lang w:val="en-US" w:eastAsia="zh-Hans"/>
        </w:rPr>
      </w:pPr>
      <w:r>
        <w:rPr>
          <w:rFonts w:hint="eastAsia" w:ascii="仿宋_GB2312" w:hAnsi="仿宋_GB2312" w:eastAsia="仿宋_GB2312" w:cs="仿宋_GB2312"/>
          <w:color w:val="auto"/>
          <w:highlight w:val="none"/>
          <w:lang w:val="en-US" w:eastAsia="zh-Hans"/>
        </w:rPr>
        <w:t>5、核心产品：上表“是否为核心产品”栏中标注“是”的为核心产品，多家投标人提供的核心产品品牌相同的，按一个有效投标人处理。</w:t>
      </w:r>
    </w:p>
    <w:p w14:paraId="48D7C8EE">
      <w:pPr>
        <w:ind w:firstLine="480"/>
        <w:jc w:val="left"/>
        <w:rPr>
          <w:rFonts w:hint="eastAsia" w:ascii="Calibri" w:hAnsi="Calibri" w:eastAsia="宋体" w:cs="Times New Roman"/>
          <w:color w:val="auto"/>
          <w:highlight w:val="none"/>
          <w:lang w:val="en-US" w:eastAsia="zh-Hans"/>
        </w:rPr>
      </w:pPr>
      <w:r>
        <w:rPr>
          <w:rFonts w:hint="eastAsia" w:ascii="仿宋_GB2312" w:hAnsi="仿宋_GB2312" w:eastAsia="仿宋_GB2312" w:cs="仿宋_GB2312"/>
          <w:color w:val="auto"/>
          <w:highlight w:val="none"/>
          <w:lang w:val="en-US" w:eastAsia="zh-Hans"/>
        </w:rPr>
        <w:t>6、强制节能产品：上表“是否为强制节能产品”栏中标注“是”的为强制节能产品，投标人投标产品应当取得国家确定的认证机构出具的、处于有效期之内的节能产品认证证书，否则其投标无效。</w:t>
      </w:r>
    </w:p>
    <w:p w14:paraId="0DB072AA">
      <w:pPr>
        <w:ind w:firstLine="480"/>
        <w:jc w:val="left"/>
        <w:rPr>
          <w:rFonts w:hint="eastAsia" w:ascii="Calibri" w:hAnsi="Calibri" w:eastAsia="宋体" w:cs="Times New Roman"/>
          <w:color w:val="auto"/>
          <w:highlight w:val="none"/>
          <w:lang w:val="en-US" w:eastAsia="zh-Hans"/>
        </w:rPr>
      </w:pPr>
      <w:r>
        <w:rPr>
          <w:rFonts w:hint="eastAsia" w:ascii="仿宋_GB2312" w:hAnsi="仿宋_GB2312" w:eastAsia="仿宋_GB2312" w:cs="仿宋_GB2312"/>
          <w:color w:val="auto"/>
          <w:highlight w:val="none"/>
          <w:lang w:val="en-US" w:eastAsia="zh-Hans"/>
        </w:rPr>
        <w:t>7、最高限价：投标人报价不得超过招标文件中规定的预算金额，采购人可以在采购预算内合理设定最高限价，投标人报价不得超过最高限价。</w:t>
      </w:r>
    </w:p>
    <w:p w14:paraId="4D08D823">
      <w:pPr>
        <w:jc w:val="center"/>
        <w:outlineLvl w:val="2"/>
        <w:rPr>
          <w:rFonts w:hint="eastAsia" w:ascii="Calibri" w:hAnsi="Calibri" w:eastAsia="宋体" w:cs="Times New Roman"/>
          <w:color w:val="auto"/>
          <w:highlight w:val="none"/>
          <w:lang w:val="en-US" w:eastAsia="zh-Hans"/>
        </w:rPr>
      </w:pPr>
      <w:r>
        <w:rPr>
          <w:rFonts w:hint="eastAsia" w:ascii="仿宋_GB2312" w:hAnsi="仿宋_GB2312" w:eastAsia="仿宋_GB2312" w:cs="仿宋_GB2312"/>
          <w:b/>
          <w:color w:val="auto"/>
          <w:sz w:val="28"/>
          <w:highlight w:val="none"/>
          <w:lang w:val="en-US" w:eastAsia="zh-Hans"/>
        </w:rPr>
        <w:t>第二节 报价要求</w:t>
      </w:r>
    </w:p>
    <w:p w14:paraId="16484919">
      <w:pPr>
        <w:jc w:val="left"/>
        <w:rPr>
          <w:rFonts w:hint="eastAsia" w:ascii="Calibri" w:hAnsi="Calibri" w:eastAsia="宋体" w:cs="Times New Roman"/>
          <w:color w:val="auto"/>
          <w:highlight w:val="none"/>
          <w:lang w:val="en-US" w:eastAsia="zh-Hans"/>
        </w:rPr>
      </w:pPr>
      <w:r>
        <w:rPr>
          <w:rFonts w:hint="eastAsia" w:ascii="仿宋_GB2312" w:hAnsi="仿宋_GB2312" w:eastAsia="仿宋_GB2312" w:cs="仿宋_GB2312"/>
          <w:color w:val="auto"/>
          <w:highlight w:val="none"/>
          <w:lang w:val="en-US" w:eastAsia="zh-Hans"/>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7E7B36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vAlign w:val="center"/>
          </w:tcPr>
          <w:p w14:paraId="674A4A13">
            <w:pPr>
              <w:jc w:val="center"/>
              <w:rPr>
                <w:rFonts w:hint="eastAsia" w:ascii="Calibri" w:hAnsi="Calibri" w:eastAsia="宋体" w:cs="Times New Roman"/>
                <w:color w:val="auto"/>
                <w:highlight w:val="none"/>
                <w:lang w:val="en-US" w:eastAsia="zh-Hans"/>
              </w:rPr>
            </w:pPr>
            <w:r>
              <w:rPr>
                <w:rFonts w:hint="eastAsia" w:ascii="仿宋_GB2312" w:hAnsi="仿宋_GB2312" w:eastAsia="仿宋_GB2312" w:cs="仿宋_GB2312"/>
                <w:color w:val="auto"/>
                <w:highlight w:val="none"/>
                <w:lang w:val="en-US" w:eastAsia="zh-Hans"/>
              </w:rPr>
              <w:t>价款形式</w:t>
            </w:r>
          </w:p>
        </w:tc>
        <w:tc>
          <w:tcPr>
            <w:tcW w:w="4153" w:type="dxa"/>
            <w:vAlign w:val="center"/>
          </w:tcPr>
          <w:p w14:paraId="0C1E43D7">
            <w:pPr>
              <w:jc w:val="center"/>
              <w:rPr>
                <w:rFonts w:hint="eastAsia" w:ascii="Calibri" w:hAnsi="Calibri" w:eastAsia="宋体" w:cs="Times New Roman"/>
                <w:color w:val="auto"/>
                <w:highlight w:val="none"/>
                <w:lang w:val="en-US" w:eastAsia="zh-Hans"/>
              </w:rPr>
            </w:pPr>
            <w:r>
              <w:rPr>
                <w:rFonts w:hint="eastAsia" w:ascii="仿宋_GB2312" w:hAnsi="仿宋_GB2312" w:eastAsia="仿宋_GB2312" w:cs="仿宋_GB2312"/>
                <w:color w:val="auto"/>
                <w:highlight w:val="none"/>
                <w:lang w:val="en-US" w:eastAsia="zh-Hans"/>
              </w:rPr>
              <w:t>报价模式</w:t>
            </w:r>
          </w:p>
        </w:tc>
      </w:tr>
      <w:tr w14:paraId="1CE47C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vAlign w:val="center"/>
          </w:tcPr>
          <w:p w14:paraId="1F9D37E1">
            <w:pPr>
              <w:jc w:val="center"/>
              <w:rPr>
                <w:rFonts w:hint="eastAsia" w:ascii="Calibri" w:hAnsi="Calibri" w:eastAsia="宋体" w:cs="Times New Roman"/>
                <w:color w:val="auto"/>
                <w:highlight w:val="none"/>
                <w:lang w:val="en-US" w:eastAsia="zh-Hans"/>
              </w:rPr>
            </w:pPr>
            <w:r>
              <w:rPr>
                <w:rFonts w:hint="eastAsia" w:ascii="仿宋_GB2312" w:hAnsi="仿宋_GB2312" w:eastAsia="仿宋_GB2312" w:cs="仿宋_GB2312"/>
                <w:color w:val="auto"/>
                <w:highlight w:val="none"/>
                <w:lang w:val="en-US" w:eastAsia="zh-Hans"/>
              </w:rPr>
              <w:t>总价</w:t>
            </w:r>
          </w:p>
          <w:p w14:paraId="1622EFF7">
            <w:pPr>
              <w:jc w:val="center"/>
              <w:rPr>
                <w:rFonts w:hint="eastAsia" w:ascii="Calibri" w:hAnsi="Calibri" w:eastAsia="宋体" w:cs="Times New Roman"/>
                <w:color w:val="auto"/>
                <w:highlight w:val="none"/>
                <w:lang w:val="en-US" w:eastAsia="zh-Hans"/>
              </w:rPr>
            </w:pPr>
            <w:r>
              <w:rPr>
                <w:rFonts w:hint="eastAsia" w:ascii="仿宋_GB2312" w:hAnsi="仿宋_GB2312" w:eastAsia="仿宋_GB2312" w:cs="仿宋_GB2312"/>
                <w:color w:val="auto"/>
                <w:highlight w:val="none"/>
                <w:lang w:val="en-US" w:eastAsia="zh-Hans"/>
              </w:rPr>
              <w:t>评审认定价和合同总价。</w:t>
            </w:r>
          </w:p>
        </w:tc>
        <w:tc>
          <w:tcPr>
            <w:tcW w:w="4153" w:type="dxa"/>
            <w:vAlign w:val="center"/>
          </w:tcPr>
          <w:p w14:paraId="1763FB8B">
            <w:pPr>
              <w:jc w:val="center"/>
              <w:rPr>
                <w:rFonts w:hint="eastAsia" w:ascii="Calibri" w:hAnsi="Calibri" w:eastAsia="宋体" w:cs="Times New Roman"/>
                <w:color w:val="auto"/>
                <w:highlight w:val="none"/>
                <w:lang w:val="en-US" w:eastAsia="zh-Hans"/>
              </w:rPr>
            </w:pPr>
            <w:r>
              <w:rPr>
                <w:rFonts w:hint="eastAsia" w:ascii="仿宋_GB2312" w:hAnsi="仿宋_GB2312" w:eastAsia="仿宋_GB2312" w:cs="仿宋_GB2312"/>
                <w:color w:val="auto"/>
                <w:highlight w:val="none"/>
                <w:lang w:val="en-US" w:eastAsia="zh-Hans"/>
              </w:rPr>
              <w:t>报价表+报价明细表（附件上传）</w:t>
            </w:r>
          </w:p>
          <w:p w14:paraId="03EEE775">
            <w:pPr>
              <w:jc w:val="center"/>
              <w:rPr>
                <w:rFonts w:hint="eastAsia" w:ascii="Calibri" w:hAnsi="Calibri" w:eastAsia="宋体" w:cs="Times New Roman"/>
                <w:color w:val="auto"/>
                <w:highlight w:val="none"/>
                <w:lang w:val="en-US" w:eastAsia="zh-Hans"/>
              </w:rPr>
            </w:pPr>
            <w:r>
              <w:rPr>
                <w:rFonts w:hint="eastAsia" w:ascii="仿宋_GB2312" w:hAnsi="仿宋_GB2312" w:eastAsia="仿宋_GB2312" w:cs="仿宋_GB2312"/>
                <w:color w:val="auto"/>
                <w:highlight w:val="none"/>
                <w:lang w:val="en-US" w:eastAsia="zh-Hans"/>
              </w:rPr>
              <w:t>按照每项报价内容分别报价并以附件形式提供分项报价的明细，按照分项或者汇总报价进行评审。</w:t>
            </w:r>
          </w:p>
        </w:tc>
      </w:tr>
    </w:tbl>
    <w:p w14:paraId="5883B9D4">
      <w:pPr>
        <w:jc w:val="left"/>
        <w:rPr>
          <w:rFonts w:hint="eastAsia" w:ascii="Calibri" w:hAnsi="Calibri" w:eastAsia="宋体" w:cs="Times New Roman"/>
          <w:color w:val="auto"/>
          <w:highlight w:val="none"/>
          <w:lang w:val="en-US" w:eastAsia="zh-Hans"/>
        </w:rPr>
      </w:pPr>
      <w:r>
        <w:rPr>
          <w:rFonts w:hint="eastAsia" w:ascii="仿宋_GB2312" w:hAnsi="仿宋_GB2312" w:eastAsia="仿宋_GB2312" w:cs="仿宋_GB2312"/>
          <w:color w:val="auto"/>
          <w:highlight w:val="none"/>
          <w:lang w:val="en-US" w:eastAsia="zh-Hans"/>
        </w:rPr>
        <w:t>报价说明：无</w:t>
      </w:r>
    </w:p>
    <w:p w14:paraId="335AD906">
      <w:pPr>
        <w:ind w:firstLine="480"/>
        <w:jc w:val="left"/>
        <w:rPr>
          <w:rFonts w:hint="eastAsia" w:ascii="Calibri" w:hAnsi="Calibri" w:eastAsia="宋体" w:cs="Times New Roman"/>
          <w:color w:val="auto"/>
          <w:highlight w:val="none"/>
          <w:lang w:val="en-US" w:eastAsia="zh-Hans"/>
        </w:rPr>
      </w:pPr>
      <w:r>
        <w:rPr>
          <w:rFonts w:hint="eastAsia" w:ascii="仿宋_GB2312" w:hAnsi="仿宋_GB2312" w:eastAsia="仿宋_GB2312" w:cs="仿宋_GB2312"/>
          <w:color w:val="auto"/>
          <w:highlight w:val="none"/>
          <w:lang w:val="en-US" w:eastAsia="zh-Hans"/>
        </w:rPr>
        <w:t>★注：采购包涉及采购货物的，投标人响应产品应当明确品牌和规格型号并指向唯一产品，不能指向唯一产品的，应通过报价表唯一产品说明栏补充说明。</w:t>
      </w:r>
    </w:p>
    <w:p w14:paraId="1521A158">
      <w:pPr>
        <w:jc w:val="center"/>
        <w:outlineLvl w:val="2"/>
        <w:rPr>
          <w:rFonts w:hint="eastAsia" w:ascii="Calibri" w:hAnsi="Calibri" w:eastAsia="宋体" w:cs="Times New Roman"/>
          <w:color w:val="auto"/>
          <w:highlight w:val="none"/>
          <w:lang w:val="en-US" w:eastAsia="zh-Hans"/>
        </w:rPr>
      </w:pPr>
      <w:r>
        <w:rPr>
          <w:rFonts w:hint="eastAsia" w:ascii="仿宋_GB2312" w:hAnsi="仿宋_GB2312" w:eastAsia="仿宋_GB2312" w:cs="仿宋_GB2312"/>
          <w:b/>
          <w:color w:val="auto"/>
          <w:sz w:val="28"/>
          <w:highlight w:val="none"/>
          <w:lang w:val="en-US" w:eastAsia="zh-Hans"/>
        </w:rPr>
        <w:t>第三节 技术、商务及其他要求</w:t>
      </w:r>
    </w:p>
    <w:p w14:paraId="695ECCB0">
      <w:pPr>
        <w:ind w:firstLine="480"/>
        <w:jc w:val="left"/>
        <w:rPr>
          <w:rFonts w:hint="eastAsia" w:ascii="Calibri" w:hAnsi="Calibri" w:eastAsia="仿宋_GB2312" w:cs="Times New Roman"/>
          <w:color w:val="auto"/>
          <w:highlight w:val="none"/>
          <w:lang w:val="en-US" w:eastAsia="zh-CN"/>
        </w:rPr>
      </w:pPr>
      <w:r>
        <w:rPr>
          <w:rFonts w:hint="eastAsia" w:ascii="仿宋_GB2312" w:hAnsi="仿宋_GB2312" w:eastAsia="仿宋_GB2312" w:cs="仿宋_GB2312"/>
          <w:color w:val="auto"/>
          <w:highlight w:val="none"/>
          <w:lang w:val="en-US" w:eastAsia="zh-Hans"/>
        </w:rPr>
        <w:t xml:space="preserve">一、项目名称： </w:t>
      </w:r>
      <w:r>
        <w:rPr>
          <w:rFonts w:hint="eastAsia" w:ascii="仿宋_GB2312" w:hAnsi="仿宋_GB2312" w:eastAsia="仿宋_GB2312" w:cs="仿宋_GB2312"/>
          <w:color w:val="auto"/>
          <w:highlight w:val="none"/>
          <w:lang w:val="en-US" w:eastAsia="zh-CN"/>
        </w:rPr>
        <w:t>基于深度学习视觉的多自由度协作机器人系统</w:t>
      </w:r>
    </w:p>
    <w:p w14:paraId="710F72F7">
      <w:pPr>
        <w:ind w:firstLine="480"/>
        <w:jc w:val="left"/>
        <w:rPr>
          <w:rFonts w:hint="eastAsia" w:ascii="Calibri" w:hAnsi="Calibri" w:eastAsia="宋体" w:cs="Times New Roman"/>
          <w:color w:val="auto"/>
          <w:highlight w:val="none"/>
          <w:lang w:val="en-US" w:eastAsia="zh-Hans"/>
        </w:rPr>
      </w:pPr>
      <w:r>
        <w:rPr>
          <w:rFonts w:hint="eastAsia" w:ascii="仿宋_GB2312" w:hAnsi="仿宋_GB2312" w:eastAsia="仿宋_GB2312" w:cs="仿宋_GB2312"/>
          <w:color w:val="auto"/>
          <w:highlight w:val="none"/>
          <w:lang w:val="en-US" w:eastAsia="zh-Hans"/>
        </w:rPr>
        <w:t>二、项目内容（范围）：</w:t>
      </w:r>
    </w:p>
    <w:p w14:paraId="66143C5D">
      <w:pPr>
        <w:spacing w:line="400" w:lineRule="exact"/>
        <w:ind w:firstLine="400" w:firstLineChars="200"/>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当前，国家《新一代人工智能发展规划》等战略明确要求加快具身智能与人形机器人技术融合应用，教育部亦强调强化人工智能与师范学科交叉。我校电子信息学院与智能制造学院已开设人工智能、机器人工程等专业并构建核心课程体系，但教学长期偏重理论仿真，缺乏真实硬件开发平台，导致学生工程实践能力不足，非工科及师范生更难以建立直观认知。为补齐实践短板、支撑微专业建设、满足学科竞赛与科研转化需求，亟需建设以具身智能双足机器人为核心的创新实验室。该实验室采用“教学—科研—实践”一体化思路，开发模块化实验课程与分层通识项目，既破解新工科教学痛点，又构建普惠式人工智能素养培养体系，同时作为湖南省中小学师资培训基地，服务区域教育智能化发展，是我校落实国家战略、推进新工科与师范教育融合、服务地方基础教育的重要载体。</w:t>
      </w:r>
    </w:p>
    <w:p w14:paraId="38FCF656">
      <w:pPr>
        <w:spacing w:line="400" w:lineRule="exact"/>
        <w:ind w:firstLine="400" w:firstLineChars="200"/>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拟购置基于深度学习视觉的应用开发实验箱10台、具身智能多模态感知双足机器人18台，机器人开发终端2台。</w:t>
      </w:r>
    </w:p>
    <w:p w14:paraId="32E81880">
      <w:pPr>
        <w:ind w:firstLine="480"/>
        <w:jc w:val="left"/>
        <w:rPr>
          <w:rFonts w:hint="eastAsia" w:ascii="Calibri" w:hAnsi="Calibri" w:eastAsia="宋体" w:cs="Times New Roman"/>
          <w:color w:val="auto"/>
          <w:highlight w:val="none"/>
          <w:lang w:val="en-US" w:eastAsia="zh-Hans"/>
        </w:rPr>
      </w:pPr>
      <w:r>
        <w:rPr>
          <w:rFonts w:hint="eastAsia" w:ascii="仿宋_GB2312" w:hAnsi="仿宋_GB2312" w:eastAsia="仿宋_GB2312" w:cs="仿宋_GB2312"/>
          <w:color w:val="auto"/>
          <w:highlight w:val="none"/>
          <w:lang w:val="en-US" w:eastAsia="zh-Hans"/>
        </w:rPr>
        <w:t>三、技术要求</w:t>
      </w:r>
    </w:p>
    <w:p w14:paraId="1EA2AE03">
      <w:pPr>
        <w:ind w:firstLine="480"/>
        <w:jc w:val="left"/>
        <w:rPr>
          <w:rFonts w:hint="eastAsia" w:ascii="Calibri" w:hAnsi="Calibri" w:eastAsia="宋体" w:cs="Times New Roman"/>
          <w:color w:val="auto"/>
          <w:highlight w:val="none"/>
          <w:lang w:val="en-US" w:eastAsia="zh-Hans"/>
        </w:rPr>
      </w:pPr>
      <w:r>
        <w:rPr>
          <w:rFonts w:hint="eastAsia" w:ascii="仿宋_GB2312" w:hAnsi="仿宋_GB2312" w:eastAsia="仿宋_GB2312" w:cs="仿宋_GB2312"/>
          <w:color w:val="auto"/>
          <w:highlight w:val="none"/>
          <w:lang w:val="en-US" w:eastAsia="zh-Hans"/>
        </w:rPr>
        <w:t>采购包1：</w:t>
      </w:r>
    </w:p>
    <w:p w14:paraId="6B291DB9">
      <w:pPr>
        <w:jc w:val="left"/>
        <w:rPr>
          <w:rFonts w:hint="eastAsia" w:ascii="Calibri" w:hAnsi="Calibri" w:eastAsia="仿宋_GB2312" w:cs="Times New Roman"/>
          <w:color w:val="auto"/>
          <w:highlight w:val="none"/>
          <w:lang w:val="en-US" w:eastAsia="zh-CN"/>
        </w:rPr>
      </w:pPr>
      <w:r>
        <w:rPr>
          <w:rFonts w:hint="eastAsia" w:ascii="仿宋_GB2312" w:hAnsi="仿宋_GB2312" w:eastAsia="仿宋_GB2312" w:cs="仿宋_GB2312"/>
          <w:color w:val="auto"/>
          <w:highlight w:val="none"/>
          <w:lang w:val="en-US" w:eastAsia="zh-Hans"/>
        </w:rPr>
        <w:t>标的名称：</w:t>
      </w:r>
      <w:r>
        <w:rPr>
          <w:rFonts w:hint="eastAsia" w:ascii="仿宋_GB2312" w:hAnsi="仿宋_GB2312" w:eastAsia="仿宋_GB2312" w:cs="仿宋_GB2312"/>
          <w:color w:val="auto"/>
          <w:highlight w:val="none"/>
          <w:lang w:val="en-US" w:eastAsia="zh-CN"/>
        </w:rPr>
        <w:t>基于深度学习视觉的多自由度协作机器人系统</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97"/>
        <w:gridCol w:w="900"/>
        <w:gridCol w:w="1296"/>
        <w:gridCol w:w="5329"/>
      </w:tblGrid>
      <w:tr w14:paraId="57B89B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97" w:type="dxa"/>
            <w:vAlign w:val="center"/>
          </w:tcPr>
          <w:p w14:paraId="088D7909">
            <w:pPr>
              <w:keepNext w:val="0"/>
              <w:keepLines w:val="0"/>
              <w:pageBreakBefore w:val="0"/>
              <w:kinsoku/>
              <w:wordWrap/>
              <w:overflowPunct/>
              <w:topLinePunct w:val="0"/>
              <w:autoSpaceDE/>
              <w:autoSpaceDN/>
              <w:bidi w:val="0"/>
              <w:adjustRightInd/>
              <w:snapToGrid/>
              <w:ind w:firstLine="0"/>
              <w:jc w:val="center"/>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参数性质</w:t>
            </w:r>
          </w:p>
        </w:tc>
        <w:tc>
          <w:tcPr>
            <w:tcW w:w="900" w:type="dxa"/>
            <w:vAlign w:val="center"/>
          </w:tcPr>
          <w:p w14:paraId="7EB5A74E">
            <w:pPr>
              <w:keepNext w:val="0"/>
              <w:keepLines w:val="0"/>
              <w:pageBreakBefore w:val="0"/>
              <w:kinsoku/>
              <w:wordWrap/>
              <w:overflowPunct/>
              <w:topLinePunct w:val="0"/>
              <w:autoSpaceDE/>
              <w:autoSpaceDN/>
              <w:bidi w:val="0"/>
              <w:adjustRightInd/>
              <w:snapToGrid/>
              <w:ind w:firstLine="0"/>
              <w:jc w:val="center"/>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序号</w:t>
            </w:r>
          </w:p>
        </w:tc>
        <w:tc>
          <w:tcPr>
            <w:tcW w:w="1296" w:type="dxa"/>
            <w:vAlign w:val="center"/>
          </w:tcPr>
          <w:p w14:paraId="6EF2F892">
            <w:pPr>
              <w:keepNext w:val="0"/>
              <w:keepLines w:val="0"/>
              <w:pageBreakBefore w:val="0"/>
              <w:kinsoku/>
              <w:wordWrap/>
              <w:overflowPunct/>
              <w:topLinePunct w:val="0"/>
              <w:autoSpaceDE/>
              <w:autoSpaceDN/>
              <w:bidi w:val="0"/>
              <w:adjustRightInd/>
              <w:snapToGrid/>
              <w:ind w:firstLine="0"/>
              <w:jc w:val="center"/>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技术要求名称</w:t>
            </w:r>
          </w:p>
        </w:tc>
        <w:tc>
          <w:tcPr>
            <w:tcW w:w="5329" w:type="dxa"/>
            <w:vAlign w:val="center"/>
          </w:tcPr>
          <w:p w14:paraId="5B457FD1">
            <w:pPr>
              <w:keepNext w:val="0"/>
              <w:keepLines w:val="0"/>
              <w:pageBreakBefore w:val="0"/>
              <w:kinsoku/>
              <w:wordWrap/>
              <w:overflowPunct/>
              <w:topLinePunct w:val="0"/>
              <w:autoSpaceDE/>
              <w:autoSpaceDN/>
              <w:bidi w:val="0"/>
              <w:adjustRightInd/>
              <w:snapToGrid/>
              <w:ind w:firstLine="0"/>
              <w:jc w:val="center"/>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技术参数与性能指标</w:t>
            </w:r>
          </w:p>
        </w:tc>
      </w:tr>
      <w:tr w14:paraId="039377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97" w:type="dxa"/>
          </w:tcPr>
          <w:p w14:paraId="69E9853B">
            <w:pPr>
              <w:keepNext w:val="0"/>
              <w:keepLines w:val="0"/>
              <w:pageBreakBefore w:val="0"/>
              <w:kinsoku/>
              <w:wordWrap/>
              <w:overflowPunct/>
              <w:topLinePunct w:val="0"/>
              <w:autoSpaceDE/>
              <w:autoSpaceDN/>
              <w:bidi w:val="0"/>
              <w:adjustRightInd/>
              <w:snapToGrid/>
              <w:ind w:firstLine="0"/>
              <w:textAlignment w:val="auto"/>
              <w:rPr>
                <w:rFonts w:hint="eastAsia" w:ascii="宋体" w:hAnsi="宋体" w:eastAsia="宋体" w:cs="宋体"/>
                <w:color w:val="auto"/>
                <w:sz w:val="20"/>
                <w:szCs w:val="20"/>
                <w:highlight w:val="none"/>
              </w:rPr>
            </w:pPr>
          </w:p>
        </w:tc>
        <w:tc>
          <w:tcPr>
            <w:tcW w:w="900" w:type="dxa"/>
            <w:vAlign w:val="center"/>
          </w:tcPr>
          <w:p w14:paraId="01EAA3FA">
            <w:pPr>
              <w:keepNext w:val="0"/>
              <w:keepLines w:val="0"/>
              <w:pageBreakBefore w:val="0"/>
              <w:kinsoku/>
              <w:wordWrap/>
              <w:overflowPunct/>
              <w:topLinePunct w:val="0"/>
              <w:autoSpaceDE/>
              <w:autoSpaceDN/>
              <w:bidi w:val="0"/>
              <w:adjustRightInd/>
              <w:snapToGrid/>
              <w:ind w:firstLine="0"/>
              <w:jc w:val="center"/>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1</w:t>
            </w:r>
          </w:p>
        </w:tc>
        <w:tc>
          <w:tcPr>
            <w:tcW w:w="1296" w:type="dxa"/>
            <w:vAlign w:val="center"/>
          </w:tcPr>
          <w:p w14:paraId="474B8CBB">
            <w:pPr>
              <w:keepNext w:val="0"/>
              <w:keepLines w:val="0"/>
              <w:pageBreakBefore w:val="0"/>
              <w:kinsoku/>
              <w:wordWrap/>
              <w:overflowPunct/>
              <w:topLinePunct w:val="0"/>
              <w:autoSpaceDE/>
              <w:autoSpaceDN/>
              <w:bidi w:val="0"/>
              <w:adjustRightInd/>
              <w:snapToGrid/>
              <w:ind w:firstLine="0"/>
              <w:jc w:val="center"/>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CN"/>
              </w:rPr>
              <w:t>基于深度学习视觉的应用开发实验箱</w:t>
            </w:r>
          </w:p>
        </w:tc>
        <w:tc>
          <w:tcPr>
            <w:tcW w:w="5329" w:type="dxa"/>
          </w:tcPr>
          <w:p w14:paraId="7420CAC6">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1.需采用铝合金结构，一体式设计，需配套提供键盘、鼠标、电源适配器和实验教具，支持上电即用；</w:t>
            </w:r>
          </w:p>
          <w:p w14:paraId="476606AA">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2.内置17寸及以上屏幕，分辨率≥1920×1080，采用IPS硬屏；</w:t>
            </w:r>
          </w:p>
          <w:p w14:paraId="30285DEF">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▲3.安装面板需同时集成双六轴机械臂系统、2D视觉协同感知系统、深度视觉协同感知系统、语音交互单元、多模态协同感知模组、运算单元，满足多门课程的教学要求；</w:t>
            </w:r>
          </w:p>
          <w:p w14:paraId="42A575AB">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投标时提供产品实物图，标注以上各个模块的位置。</w:t>
            </w:r>
          </w:p>
          <w:p w14:paraId="42C19759">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▲4.鉴于本产品的使用场景和用途，所有零部件不得包含电子电气产品六种限用物质，且满足电气安全使用要求；</w:t>
            </w:r>
          </w:p>
          <w:p w14:paraId="08835932">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投标时提供第三方检测机构出具的检测报告扫描件，并加盖投标人公章。</w:t>
            </w:r>
          </w:p>
          <w:p w14:paraId="0D7EE0F3">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5.运算单元配置和功能要求：</w:t>
            </w:r>
          </w:p>
          <w:p w14:paraId="5E20F262">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（1）硬件性能：CPU：核心数≥6，最大频率≥1.7GHz；内存：≥8G；硬盘：≥256G；算力：≥67Tops；显存：≥8GB 128-bit LPDDR5 102GB/s；连接：Gigabit以太网；显示：HDMI和DP；</w:t>
            </w:r>
          </w:p>
          <w:p w14:paraId="5C892250">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（2）需内置Python3.8及以上版本的运行环境，并支持语音识别、手势检测、目标跟踪等AI模型的部署；</w:t>
            </w:r>
          </w:p>
          <w:p w14:paraId="6DE44F24">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（3）需预装主流的机器学习、计算机视觉、机器人控制算法库，支持Python/C++编程与在线调试，开放硬件控制接口与算法调用接口；</w:t>
            </w:r>
          </w:p>
          <w:p w14:paraId="243938A8">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（4）需部署本地Deepseek-R1、QWen2.5等大模型，支持模型部署调用、语音指令解析、手势意图识别等一体化具身智能任务，使用过程中无需连接网络。</w:t>
            </w:r>
          </w:p>
          <w:p w14:paraId="16332E7B">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6.部署双六轴机械臂协同控制系统，具体功能和要求：</w:t>
            </w:r>
          </w:p>
          <w:p w14:paraId="3FBD7BE4">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★（1）双六轴机械臂采用T型支架安装，左右各1台，实现对人体结构的仿真；</w:t>
            </w:r>
          </w:p>
          <w:p w14:paraId="2E0D1BA8">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投标时提供设备结构设计图。</w:t>
            </w:r>
          </w:p>
          <w:p w14:paraId="5008511D">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（2）安装面板需为双六轴机械臂提供一键启动和复位按钮，控制双六轴机械臂自动抬起和回到收纳位置，方便开展教学；</w:t>
            </w:r>
          </w:p>
          <w:p w14:paraId="6EFD1EBF">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（3）机械臂有效抓取范围：半径≥15cm；自由度：6自由度加夹持臂；末端夹具：两指夹爪；数量：2台；</w:t>
            </w:r>
          </w:p>
          <w:p w14:paraId="1F84EB32">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（4）机械臂支持多关节独立运动与双臂协同运动，可实现协同抓取、搬运、分拣等动作，模拟人类手臂动作轨迹；</w:t>
            </w:r>
          </w:p>
          <w:p w14:paraId="5817BED8">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★（5）机械臂控制方式：支持手动控制、语音控制、视觉引导控制、上位机软件控制，可实现多模式切换；</w:t>
            </w:r>
          </w:p>
          <w:p w14:paraId="71D37E52">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投标时提供该模式切换的软件界面截图，要求体现上述控制功能。</w:t>
            </w:r>
          </w:p>
          <w:p w14:paraId="594403E4">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（6）机械臂支持动作示教功能，允许用户依次设置关节角度、动作延时、夹爪开合，完成机械臂动作的示教，允许连续示教不少于50个动作；</w:t>
            </w:r>
          </w:p>
          <w:p w14:paraId="39E99123">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投标时提供该动作示教的软件界面截图，要求体现上述关节角度、夹爪开合、动作延时的参数，以及不少于50个示教动作等信息。</w:t>
            </w:r>
          </w:p>
          <w:p w14:paraId="5BFA959E">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7.配备多模态协同感知模组拓展器，具体功能和要求如下：</w:t>
            </w:r>
          </w:p>
          <w:p w14:paraId="550B7CF0">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（1）配置2套，分别安装于双六轴机械臂末端，与机械臂连接稳固、无松动、晃动现象，可自由拆卸；</w:t>
            </w:r>
          </w:p>
          <w:p w14:paraId="6943F85F">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▲（2）预留不少于3个标准化拓展接口，可兼容触觉压力传感器、六轴姿态陀螺仪、接近避障传感器的安装；</w:t>
            </w:r>
          </w:p>
          <w:p w14:paraId="7450F85D">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投标时提供该拓展接口的实物图，并对各类传感器的拓展进行原理说明。</w:t>
            </w:r>
          </w:p>
          <w:p w14:paraId="5C6FB364">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（3）可随机械臂同步运动，确保传感器采集的数据实时、准确，支持与运算单元无缝通信。</w:t>
            </w:r>
          </w:p>
          <w:p w14:paraId="5F0535B9">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8.2D视觉协同感知系统，具体功能和要求如下：</w:t>
            </w:r>
          </w:p>
          <w:p w14:paraId="00533D3B">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（1）分辨率：≥640×480；帧率：≥30fps；支持USB接口连接，即插即用；</w:t>
            </w:r>
          </w:p>
          <w:p w14:paraId="50C55EEF">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（2）双机械臂末端各搭载1台，可完成目标图像采集、特征提取、目标定位，支持与机械臂协同，实现视觉引导抓取。</w:t>
            </w:r>
          </w:p>
          <w:p w14:paraId="7385AB10">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9.深度视觉协同感知系统，具体功能和要求如下：</w:t>
            </w:r>
          </w:p>
          <w:p w14:paraId="3AD63B48">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（1）深度相机分辨率：≥1280×720；输出帧速率：≥30fps；图像颜色：彩色；支持深度检测；</w:t>
            </w:r>
          </w:p>
          <w:p w14:paraId="742BA403">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（2）安装于二自由度云台，云台采用电动控制方式，采用双舵机设计，可通过软件进行姿态控制；</w:t>
            </w:r>
          </w:p>
          <w:p w14:paraId="7F105BF4">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▲（3）深度相机支持手眼标定与空间定位，可引导双六轴机械臂完成目标定位、自主抓取等任务；</w:t>
            </w:r>
          </w:p>
          <w:p w14:paraId="36939A49">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投标时对该功能进行视频演示。</w:t>
            </w:r>
          </w:p>
          <w:p w14:paraId="7D74F3B0">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10.深度相机及配套的图像识别库具备如下人机交互功能：</w:t>
            </w:r>
          </w:p>
          <w:p w14:paraId="15A8E010">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（1）提供人脸关键点检测案例：精准定位包括脸颊、眉、眼、口、鼻等人脸五官及轮廓的14个关键点；</w:t>
            </w:r>
          </w:p>
          <w:p w14:paraId="5BE5A139">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（2）提供手部动作识别案例：支持识别多种手势的动作和方向，可精准定位手部的五个关键点，识别V字、点赞、五指、拳头等手势；</w:t>
            </w:r>
          </w:p>
          <w:p w14:paraId="7051A0A1">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（3）支持人脸特征提取，可快速提取人脸特征信息并录入系统。</w:t>
            </w:r>
          </w:p>
          <w:p w14:paraId="23AA21C0">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11.麦克风阵列：具备360°环绕拾音模式，拾音距离：≥2m，开放函数接口，支持用户自定义语音指令；</w:t>
            </w:r>
          </w:p>
          <w:p w14:paraId="168CC20D">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▲12.部署多模态协同感知模组，具体功能和要求：</w:t>
            </w:r>
          </w:p>
          <w:p w14:paraId="1137F9D4">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（1）触觉压力传感器，适配双六轴机械臂末端拓展器，数量：2套；压力检测范围0.2N～29N，感应区直径：≥8mm，响应速度：≤10ms，支持随机械臂抓取动作实时采集压力数据；</w:t>
            </w:r>
          </w:p>
          <w:p w14:paraId="450E1372">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投标时提供硬件实物图。</w:t>
            </w:r>
          </w:p>
          <w:p w14:paraId="62C860B9">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（2）六轴姿态陀螺仪，适配双六轴机械臂末端拓展器，数量：2套；最大采样率：≥250Hz，支持随机械臂姿态变化实时采集关节运动角度、加速度数据；</w:t>
            </w:r>
          </w:p>
          <w:p w14:paraId="0E636609">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投标时提供硬件实物图。</w:t>
            </w:r>
          </w:p>
          <w:p w14:paraId="0EBD7035">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（3）接近避障传感器，适配双六轴机械臂末端拓展器，数量：2套；检测距离：0.04～2米，分辨率：≤1mm，支持随机械臂运动实时检测周围障碍物距离。</w:t>
            </w:r>
          </w:p>
          <w:p w14:paraId="3AD08E9D">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投标时提供硬件实物图。</w:t>
            </w:r>
          </w:p>
          <w:p w14:paraId="74E596C5">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13.内置嵌入式通信与电源管理模块，具备如下功能：</w:t>
            </w:r>
          </w:p>
          <w:p w14:paraId="787C3AA9">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（1）需提供如下硬件接口：USB2.0拓展接口≥×4、总线接口≥×1、IO接口≥×4、12V电源接口≥×2、5V电源接口≥×1；</w:t>
            </w:r>
          </w:p>
          <w:p w14:paraId="3A94B34B">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（2）部署分布式电源管理系统，集成多路独立的供电输出，满足双六轴机械臂、云台、传感器、运算单元等不同外设的差异化功耗需求；</w:t>
            </w:r>
          </w:p>
          <w:p w14:paraId="38D12F48">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（3）提供板载微处理器，并开放API接口，支持以Python代码通过板载微处理器对该模块进行交互控制。</w:t>
            </w:r>
          </w:p>
          <w:p w14:paraId="7D225AF7">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14.部署具身智能软件开发平台，具备如下功能：</w:t>
            </w:r>
          </w:p>
          <w:p w14:paraId="06720B0B">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（1）支持硬件设备管理、数据采集与显示、参数调试、实训任务管理等功能；</w:t>
            </w:r>
          </w:p>
          <w:p w14:paraId="18189BFE">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▲（2）支持多模态感知数据同步采集，可实时获取触觉压力、空间姿态、接近避障、视觉、语音等五类感知数据，并在界面实时显示；</w:t>
            </w:r>
          </w:p>
          <w:p w14:paraId="7C233888">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投标时提供可视化界面截图，并对五类感知数据的显示进行视频演示。</w:t>
            </w:r>
          </w:p>
          <w:p w14:paraId="7F8F9378">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（3）支持自定义决策逻辑设计，可基于触觉压力、空间姿态、接近避障等感知数据设置多档位决策阈值，满足不同场景下的差异化决策需求；</w:t>
            </w:r>
          </w:p>
          <w:p w14:paraId="3CE43E2A">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（4）支持将决策指令实时下发至双六轴机械臂，实现机械臂夹爪张开角度、运动姿态、动态避障等动作的控制；</w:t>
            </w:r>
          </w:p>
          <w:p w14:paraId="506EFE00">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（5）支持闭环反馈优化，可通过触觉压力、空间姿态、接近避障等传感器实时采集执行反馈数据，自动调整决策参数与执行动作；</w:t>
            </w:r>
          </w:p>
          <w:p w14:paraId="06FD56BE">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投标时提供该功能的技术方案。</w:t>
            </w:r>
          </w:p>
          <w:p w14:paraId="770B740E">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（6）支持实训数据导出、自定义算法部署，开放SDK接口，方便师生进行二次开发。</w:t>
            </w:r>
          </w:p>
          <w:p w14:paraId="2E1DBF4D">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15.需配套提供如下课程资源：</w:t>
            </w:r>
          </w:p>
          <w:p w14:paraId="7A2BEC1B">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1）提供《多模态感知基础实训》课程资源，包含但不限于：触觉压力传感器数据采集与基础校准、六轴姿态陀螺仪数据采集与姿态校准、接近避障传感器数据采集与阈值调试、基于2D相机的目标识别与定位、基于深度相机的RGB与深度流数据采集、语音交互系统基础调试与唤醒、多传感器数据融合；</w:t>
            </w:r>
          </w:p>
          <w:p w14:paraId="46D8203A">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（2）提供《自主决策基础实训》课程资源，包含但不限于：Agent智能体的部署与搭建、传感器数据的简单处理与决策、基础手势识别模型部署与测试、简单语音指令解析与决策；</w:t>
            </w:r>
          </w:p>
          <w:p w14:paraId="35892605">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3）提供《协同控制基础实训》课程资源，包含但不限于：机械臂硬件认知与示教控制、机械臂点到点（PTP）运动控制、夹爪基础操作与控制、云台基础操作与控制、机械臂简单抓取与放置、双机械臂协同控制；</w:t>
            </w:r>
          </w:p>
          <w:p w14:paraId="1B144D69">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4）提供《感知-决策联动》课程资源，包含但不限于：基于RGB图像的的目标识别与抓取、基于手势识别的控制决策、基于语音指令的复杂决策、基于压力数据的柔性抓取决策、视觉与语音融合感知及决策、多传感器数据融合与决策；</w:t>
            </w:r>
          </w:p>
          <w:p w14:paraId="2CACF088">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5）提供《决策-执行联动》课程资源，包含但不限于：基于Agent智能体的控制执行、手势识别决策与控制执行、语音指令决策与控制执行、基于压力数据的物体柔性抓取、多动作序列决策与执行、云台与机械臂决策-执行联动、语音指令控制机械臂基础动作（带传感器反馈）；</w:t>
            </w:r>
          </w:p>
          <w:p w14:paraId="4E027D46">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16.开放全部软件框架和算法级源代码，支持二次开发，设备交付时提供完善的实验指导书和技术文档。</w:t>
            </w:r>
          </w:p>
        </w:tc>
      </w:tr>
      <w:tr w14:paraId="3F34C2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97" w:type="dxa"/>
            <w:vAlign w:val="center"/>
          </w:tcPr>
          <w:p w14:paraId="66925633">
            <w:pPr>
              <w:keepNext w:val="0"/>
              <w:keepLines w:val="0"/>
              <w:pageBreakBefore w:val="0"/>
              <w:kinsoku/>
              <w:wordWrap/>
              <w:overflowPunct/>
              <w:topLinePunct w:val="0"/>
              <w:autoSpaceDE/>
              <w:autoSpaceDN/>
              <w:bidi w:val="0"/>
              <w:adjustRightInd/>
              <w:snapToGrid/>
              <w:ind w:firstLine="0"/>
              <w:jc w:val="center"/>
              <w:textAlignment w:val="auto"/>
              <w:rPr>
                <w:rFonts w:hint="eastAsia" w:ascii="宋体" w:hAnsi="宋体" w:eastAsia="宋体" w:cs="宋体"/>
                <w:color w:val="auto"/>
                <w:sz w:val="20"/>
                <w:szCs w:val="20"/>
                <w:highlight w:val="none"/>
                <w:lang w:val="en-US" w:eastAsia="zh-Hans"/>
              </w:rPr>
            </w:pPr>
          </w:p>
        </w:tc>
        <w:tc>
          <w:tcPr>
            <w:tcW w:w="900" w:type="dxa"/>
            <w:vAlign w:val="center"/>
          </w:tcPr>
          <w:p w14:paraId="39E55988">
            <w:pPr>
              <w:keepNext w:val="0"/>
              <w:keepLines w:val="0"/>
              <w:pageBreakBefore w:val="0"/>
              <w:kinsoku/>
              <w:wordWrap/>
              <w:overflowPunct/>
              <w:topLinePunct w:val="0"/>
              <w:autoSpaceDE/>
              <w:autoSpaceDN/>
              <w:bidi w:val="0"/>
              <w:adjustRightInd/>
              <w:snapToGrid/>
              <w:ind w:firstLine="0"/>
              <w:jc w:val="center"/>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2</w:t>
            </w:r>
          </w:p>
        </w:tc>
        <w:tc>
          <w:tcPr>
            <w:tcW w:w="1296" w:type="dxa"/>
            <w:vAlign w:val="center"/>
          </w:tcPr>
          <w:p w14:paraId="7FA0E5E1">
            <w:pPr>
              <w:keepNext w:val="0"/>
              <w:keepLines w:val="0"/>
              <w:pageBreakBefore w:val="0"/>
              <w:kinsoku/>
              <w:wordWrap/>
              <w:overflowPunct/>
              <w:topLinePunct w:val="0"/>
              <w:autoSpaceDE/>
              <w:autoSpaceDN/>
              <w:bidi w:val="0"/>
              <w:adjustRightInd/>
              <w:snapToGrid/>
              <w:ind w:firstLine="0"/>
              <w:jc w:val="center"/>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CN"/>
              </w:rPr>
              <w:t>多自由度协作机器人系统</w:t>
            </w:r>
          </w:p>
        </w:tc>
        <w:tc>
          <w:tcPr>
            <w:tcW w:w="5329" w:type="dxa"/>
          </w:tcPr>
          <w:p w14:paraId="55F2745B">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一、本体</w:t>
            </w:r>
          </w:p>
          <w:p w14:paraId="5A1881FC">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1.体型材质:≥340mm*220mm*110mm，采用铝合金+PC/ABS塑胶材质。</w:t>
            </w:r>
          </w:p>
          <w:p w14:paraId="5B4546DC">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2.控制方式：支持2.4G群控，支持两种及以上步态算法，慢走≥3厘米/秒，快走≥10厘米/秒。</w:t>
            </w:r>
          </w:p>
          <w:p w14:paraId="64E839A9">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3.控制器：板载储存空间≥128M，支持储存多个动作组，开关内置，充电接口内置，带有过载保护，支持同时控制≥17个数字舵机，支持无线通信手柄。</w:t>
            </w:r>
          </w:p>
          <w:p w14:paraId="658A73EF">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★4.开发平台：CPU≥8核，搭载智能计算芯片，AI算力≥10TOPS，支持Transfomer、RWKV、Occupancy、Stereo Perception等多种复杂模型和最新算法，支持搭载摄像头，支持接入本地部署大模型。</w:t>
            </w:r>
          </w:p>
          <w:p w14:paraId="70A20477">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5.编程平台：提供PC端软件（兼容Windows和macOS），Linux，支持ROS和Python编程方式。</w:t>
            </w:r>
          </w:p>
          <w:p w14:paraId="19BD09DB">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★6.自由度：≥17个自由度，头部≥1个，肩部≥2个，单手臂≥2个，单腿部≥4个，单脚部≥1个。</w:t>
            </w:r>
          </w:p>
          <w:p w14:paraId="3AC2688D">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▲7.舵机：≥17个强扭矩伺服舵机；运动范围≥180°；精度≥1°；速度≥461°/S；4级减速齿轮箱结构，提供官网截图与产品彩页予以佐证。</w:t>
            </w:r>
          </w:p>
          <w:p w14:paraId="39BEF75C">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 xml:space="preserve">8.电池：≥7V，容量≥3100mAH。 </w:t>
            </w:r>
          </w:p>
          <w:p w14:paraId="11B34652">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9.音频输出：配置MP3模块和扬声器，扬声器≥1.5W，支持音乐播放。</w:t>
            </w:r>
          </w:p>
          <w:p w14:paraId="3BD16AC1">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10.音频输入：需配置无线麦克风，实现精准收音。</w:t>
            </w:r>
          </w:p>
          <w:p w14:paraId="231C2D46">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二、传感器</w:t>
            </w:r>
          </w:p>
          <w:p w14:paraId="5CFC9719">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1.内置传感器：内置≥3个传感器，至少包含地磁传感器、头部摄像头和胸部摄像头，机体前胸自带≥2个磁吸传感器扩展口，传感器扩展口均可实现传感器数据模拟输入和执行器数据输出,提供官网截图与产品彩页予以佐证。</w:t>
            </w:r>
          </w:p>
          <w:p w14:paraId="721CF861">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▲12.外置传感器：机器人功能拓展，≥10个外置传感器相互配合完成不同的场景任务，2磁铁，3PIN磁吸头，包含但不限于以下输入模块：</w:t>
            </w:r>
          </w:p>
          <w:p w14:paraId="767B659A">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（1）火焰传感器：识别火焰；</w:t>
            </w:r>
          </w:p>
          <w:p w14:paraId="382AAB49">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（2）光敏传感器：识别环境光源强度；</w:t>
            </w:r>
          </w:p>
          <w:p w14:paraId="6B19ACBB">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（3）温度传感器：探测环境温度；</w:t>
            </w:r>
          </w:p>
          <w:p w14:paraId="37C4E1E5">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（4）湿度传感器：探测环境湿度；</w:t>
            </w:r>
          </w:p>
          <w:p w14:paraId="1F7DD118">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（5）气敏传感器：检测特定气体；</w:t>
            </w:r>
          </w:p>
          <w:p w14:paraId="5F07F3E3">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（6）触摸传感器：感应人体触摸；</w:t>
            </w:r>
          </w:p>
          <w:p w14:paraId="7D0E99EB">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 xml:space="preserve">（7）人体红外传感器：感应人的远近； </w:t>
            </w:r>
          </w:p>
          <w:p w14:paraId="46836C15">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（8）碰撞开关：感应碰撞。</w:t>
            </w:r>
          </w:p>
          <w:p w14:paraId="5BF5FE9E">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（9）LED灯：可实现常亮、闪烁等多种编程；</w:t>
            </w:r>
          </w:p>
          <w:p w14:paraId="626EF8D8">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（10）风扇：可实现编程控制转动。</w:t>
            </w:r>
          </w:p>
          <w:p w14:paraId="3E26A5B4">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提供功能演示视频予以佐证。</w:t>
            </w:r>
          </w:p>
          <w:p w14:paraId="6936F9B3">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三、摄像头</w:t>
            </w:r>
          </w:p>
          <w:p w14:paraId="0928CF38">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头部摄像头镜头视野≥60度，≥500万像素；胸部摄像头镜头≥160度，≥500万像素。</w:t>
            </w:r>
          </w:p>
          <w:p w14:paraId="54AA59F8">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四、仿真平台</w:t>
            </w:r>
          </w:p>
          <w:p w14:paraId="3F1255F7">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1、配套提供基于NVIDIA Isaac Sim的虚拟仿真开发平台，支持具身人工智能与机器人技术的协作研究；具备高度的物理真实感和图像真实感，提供高质量的场景渲染与动态仿真；主要功能需包括多样化场景创建、感知模型集成、行为规划与控制算法。</w:t>
            </w:r>
          </w:p>
          <w:p w14:paraId="4E990EA9">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▲2、内置案例包含人形机器人双机智能协作型自主分类与搬运场景；内置物体资产数＞100个；支持与场景可以交互的强化学习算法；支持搭载通用模型进行数字仿生人交互。提供功能演示视频予以佐证。</w:t>
            </w:r>
          </w:p>
          <w:p w14:paraId="7283A223">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五、手柄操作</w:t>
            </w:r>
          </w:p>
          <w:p w14:paraId="224BD18D">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尺寸：≤160mm*115mm*60mm；支持2.4G连接；要求发射频率可修改；按键：≥2个摇杆，≥12个自定义按键，≥3个功能按键；模式切换：可以切换≥4种模式，分别为兼容模式、拳击模式、足球模式和表演模式；可同时支持≥36个自定义动作。</w:t>
            </w:r>
          </w:p>
          <w:p w14:paraId="0FB45774">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六、配套机器人场景地图</w:t>
            </w:r>
          </w:p>
          <w:p w14:paraId="07903E7C">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1、地图尺寸：≥250cm*150cm，平滑耐刮。</w:t>
            </w:r>
          </w:p>
          <w:p w14:paraId="29CD9A57">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2、清洁桌面任务道具：</w:t>
            </w:r>
          </w:p>
          <w:p w14:paraId="4D5C415B">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（1）实验桌1套。</w:t>
            </w:r>
          </w:p>
          <w:p w14:paraId="63B68C25">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（2）实验桌贴纸1套。</w:t>
            </w:r>
          </w:p>
          <w:p w14:paraId="73995D90">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（3）实验抹布模型1套。</w:t>
            </w:r>
          </w:p>
          <w:p w14:paraId="51F34805">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3、收纳任务道具：</w:t>
            </w:r>
          </w:p>
          <w:p w14:paraId="4834F3D6">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（1）收纳区书籍模型1套。</w:t>
            </w:r>
          </w:p>
          <w:p w14:paraId="5EF2AFA2">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（2）台阶1套。</w:t>
            </w:r>
          </w:p>
          <w:p w14:paraId="64B27298">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（3）台阶贴纸1套。</w:t>
            </w:r>
          </w:p>
          <w:p w14:paraId="27C9A769">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（4）书架1套。</w:t>
            </w:r>
          </w:p>
          <w:p w14:paraId="187E89D6">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4、读取任务板任务道具：</w:t>
            </w:r>
          </w:p>
          <w:p w14:paraId="2D8E9BEE">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（1）任务板1套。</w:t>
            </w:r>
          </w:p>
          <w:p w14:paraId="1BFCE57C">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（2）任务板贴纸1套。</w:t>
            </w:r>
          </w:p>
          <w:p w14:paraId="506845B1">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5、学无止境任务道具：</w:t>
            </w:r>
          </w:p>
          <w:p w14:paraId="2F01365B">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（1）阅读区书籍模型3个。</w:t>
            </w:r>
          </w:p>
          <w:p w14:paraId="71B7F6BA">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（2）书籍模型贴纸1套。</w:t>
            </w:r>
          </w:p>
          <w:p w14:paraId="13766610">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（3）黄色放置筐1套。</w:t>
            </w:r>
          </w:p>
          <w:p w14:paraId="589659DF">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（4）蓝色放置筐1套。</w:t>
            </w:r>
          </w:p>
          <w:p w14:paraId="54732B87">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（5）绿色放置筐1套。</w:t>
            </w:r>
          </w:p>
          <w:p w14:paraId="005E6ECC">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七、其他</w:t>
            </w:r>
          </w:p>
          <w:p w14:paraId="33252BBD">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1.机器人设备使用的技术领先。</w:t>
            </w:r>
          </w:p>
          <w:p w14:paraId="40B81918">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2.国产化系统支持：支持OpenHarmony等国产操作系统。</w:t>
            </w:r>
          </w:p>
          <w:p w14:paraId="062779C5">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▲3.机器人支持参加教育部公布的白名单赛事（如中国机器人及人工智能大赛等），需提供支持赛事的证明材料予以佐证。</w:t>
            </w:r>
          </w:p>
          <w:p w14:paraId="53B9668C">
            <w:pPr>
              <w:keepNext w:val="0"/>
              <w:keepLines w:val="0"/>
              <w:pageBreakBefore w:val="0"/>
              <w:kinsoku/>
              <w:wordWrap/>
              <w:overflowPunct/>
              <w:topLinePunct w:val="0"/>
              <w:autoSpaceDE/>
              <w:autoSpaceDN/>
              <w:bidi w:val="0"/>
              <w:adjustRightInd/>
              <w:snapToGrid/>
              <w:ind w:firstLine="0"/>
              <w:jc w:val="both"/>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▲4.配套教学资料，需提供电子版机器人基础教程，提供产品的仿人机器人专业教程作品登记证书扫描件予以佐证。</w:t>
            </w:r>
          </w:p>
        </w:tc>
      </w:tr>
      <w:tr w14:paraId="0C2688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97" w:type="dxa"/>
          </w:tcPr>
          <w:p w14:paraId="08E2DCD0">
            <w:pPr>
              <w:keepNext w:val="0"/>
              <w:keepLines w:val="0"/>
              <w:pageBreakBefore w:val="0"/>
              <w:kinsoku/>
              <w:wordWrap/>
              <w:overflowPunct/>
              <w:topLinePunct w:val="0"/>
              <w:autoSpaceDE/>
              <w:autoSpaceDN/>
              <w:bidi w:val="0"/>
              <w:adjustRightInd/>
              <w:snapToGrid/>
              <w:ind w:firstLine="0"/>
              <w:textAlignment w:val="auto"/>
              <w:rPr>
                <w:rFonts w:hint="eastAsia" w:ascii="宋体" w:hAnsi="宋体" w:eastAsia="宋体" w:cs="宋体"/>
                <w:color w:val="auto"/>
                <w:sz w:val="20"/>
                <w:szCs w:val="20"/>
                <w:highlight w:val="none"/>
              </w:rPr>
            </w:pPr>
          </w:p>
        </w:tc>
        <w:tc>
          <w:tcPr>
            <w:tcW w:w="900" w:type="dxa"/>
            <w:vAlign w:val="center"/>
          </w:tcPr>
          <w:p w14:paraId="0CFFC34B">
            <w:pPr>
              <w:keepNext w:val="0"/>
              <w:keepLines w:val="0"/>
              <w:pageBreakBefore w:val="0"/>
              <w:kinsoku/>
              <w:wordWrap/>
              <w:overflowPunct/>
              <w:topLinePunct w:val="0"/>
              <w:autoSpaceDE/>
              <w:autoSpaceDN/>
              <w:bidi w:val="0"/>
              <w:adjustRightInd/>
              <w:snapToGrid/>
              <w:ind w:firstLine="0"/>
              <w:jc w:val="center"/>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rPr>
              <w:t>3</w:t>
            </w:r>
          </w:p>
        </w:tc>
        <w:tc>
          <w:tcPr>
            <w:tcW w:w="1296" w:type="dxa"/>
            <w:vAlign w:val="center"/>
          </w:tcPr>
          <w:p w14:paraId="05110064">
            <w:pPr>
              <w:keepNext w:val="0"/>
              <w:keepLines w:val="0"/>
              <w:pageBreakBefore w:val="0"/>
              <w:kinsoku/>
              <w:wordWrap/>
              <w:overflowPunct/>
              <w:topLinePunct w:val="0"/>
              <w:autoSpaceDE/>
              <w:autoSpaceDN/>
              <w:bidi w:val="0"/>
              <w:adjustRightInd/>
              <w:snapToGrid/>
              <w:ind w:firstLine="0"/>
              <w:jc w:val="center"/>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CN" w:bidi="ar"/>
              </w:rPr>
              <w:t>机器人开发终端</w:t>
            </w:r>
          </w:p>
        </w:tc>
        <w:tc>
          <w:tcPr>
            <w:tcW w:w="5329" w:type="dxa"/>
          </w:tcPr>
          <w:p w14:paraId="4D3E5F9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88" w:lineRule="auto"/>
              <w:ind w:left="0" w:right="0"/>
              <w:jc w:val="left"/>
              <w:textAlignment w:val="auto"/>
              <w:rPr>
                <w:rFonts w:hint="eastAsia" w:ascii="宋体" w:hAnsi="宋体" w:eastAsia="宋体" w:cs="宋体"/>
                <w:b/>
                <w:bCs/>
                <w:color w:val="auto"/>
                <w:sz w:val="20"/>
                <w:szCs w:val="20"/>
                <w:highlight w:val="none"/>
                <w:lang w:bidi="ar"/>
              </w:rPr>
            </w:pPr>
            <w:r>
              <w:rPr>
                <w:rFonts w:hint="eastAsia" w:ascii="宋体" w:hAnsi="宋体" w:eastAsia="宋体" w:cs="宋体"/>
                <w:b/>
                <w:bCs/>
                <w:color w:val="auto"/>
                <w:sz w:val="20"/>
                <w:szCs w:val="20"/>
                <w:highlight w:val="none"/>
                <w:lang w:bidi="ar"/>
              </w:rPr>
              <w:t>1.处理器：基础频率≥2.0GHz，高速缓存≥33MB，最大睿频频率≥5.0GHz，物理核心数≥20核。</w:t>
            </w:r>
          </w:p>
          <w:p w14:paraId="509F1C9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88" w:lineRule="auto"/>
              <w:ind w:left="0" w:right="0"/>
              <w:jc w:val="left"/>
              <w:textAlignment w:val="auto"/>
              <w:rPr>
                <w:rFonts w:hint="eastAsia" w:ascii="宋体" w:hAnsi="宋体" w:eastAsia="宋体" w:cs="宋体"/>
                <w:color w:val="auto"/>
                <w:sz w:val="20"/>
                <w:szCs w:val="20"/>
                <w:highlight w:val="none"/>
                <w:lang w:bidi="ar"/>
              </w:rPr>
            </w:pPr>
            <w:r>
              <w:rPr>
                <w:rFonts w:hint="eastAsia" w:ascii="宋体" w:hAnsi="宋体" w:eastAsia="宋体" w:cs="宋体"/>
                <w:color w:val="auto"/>
                <w:sz w:val="20"/>
                <w:szCs w:val="20"/>
                <w:highlight w:val="none"/>
                <w:lang w:bidi="ar"/>
              </w:rPr>
              <w:t>2.主板：≥B760芯片组（中文BIOS UEFI图形操作界面、BIOS界面下支持鼠标点击操作），主板具备≥2xPCI-e3.0x1插槽；≥1xPCI-e4.0x16插槽；≥3x M.2；主板为全固态电容电阻且同时便于扩展；主板为标准ATX主板，规格长宽均不低于24cm。</w:t>
            </w:r>
          </w:p>
          <w:p w14:paraId="4A0E10D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88" w:lineRule="auto"/>
              <w:ind w:left="0" w:right="0"/>
              <w:jc w:val="left"/>
              <w:textAlignment w:val="auto"/>
              <w:rPr>
                <w:rFonts w:hint="eastAsia" w:ascii="宋体" w:hAnsi="宋体" w:eastAsia="宋体" w:cs="宋体"/>
                <w:color w:val="auto"/>
                <w:sz w:val="20"/>
                <w:szCs w:val="20"/>
                <w:highlight w:val="none"/>
                <w:lang w:bidi="ar"/>
              </w:rPr>
            </w:pPr>
            <w:r>
              <w:rPr>
                <w:rFonts w:hint="eastAsia" w:ascii="宋体" w:hAnsi="宋体" w:eastAsia="宋体" w:cs="宋体"/>
                <w:color w:val="auto"/>
                <w:sz w:val="20"/>
                <w:szCs w:val="20"/>
                <w:highlight w:val="none"/>
                <w:lang w:bidi="ar"/>
              </w:rPr>
              <w:t>3.内存：≥16GB DDR5 、≥4个DIMM 插槽，最高支持≥128GB扩展。</w:t>
            </w:r>
          </w:p>
          <w:p w14:paraId="653109F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88" w:lineRule="auto"/>
              <w:ind w:left="0" w:right="0"/>
              <w:jc w:val="left"/>
              <w:textAlignment w:val="auto"/>
              <w:rPr>
                <w:rFonts w:hint="eastAsia" w:ascii="宋体" w:hAnsi="宋体" w:eastAsia="宋体" w:cs="宋体"/>
                <w:color w:val="auto"/>
                <w:sz w:val="20"/>
                <w:szCs w:val="20"/>
                <w:highlight w:val="none"/>
                <w:lang w:bidi="ar"/>
              </w:rPr>
            </w:pPr>
            <w:r>
              <w:rPr>
                <w:rFonts w:hint="eastAsia" w:ascii="宋体" w:hAnsi="宋体" w:eastAsia="宋体" w:cs="宋体"/>
                <w:color w:val="auto"/>
                <w:sz w:val="20"/>
                <w:szCs w:val="20"/>
                <w:highlight w:val="none"/>
                <w:lang w:bidi="ar"/>
              </w:rPr>
              <w:t>4.硬盘：≥512G SSD NVME 固态硬盘，主板上集成不低于4 x SATA3 6Gb/s，便于后续扩展。</w:t>
            </w:r>
          </w:p>
          <w:p w14:paraId="672870D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88" w:lineRule="auto"/>
              <w:ind w:left="0" w:right="0"/>
              <w:jc w:val="left"/>
              <w:textAlignment w:val="auto"/>
              <w:rPr>
                <w:rFonts w:hint="eastAsia" w:ascii="宋体" w:hAnsi="宋体" w:eastAsia="宋体" w:cs="宋体"/>
                <w:color w:val="auto"/>
                <w:sz w:val="20"/>
                <w:szCs w:val="20"/>
                <w:highlight w:val="none"/>
                <w:lang w:bidi="ar"/>
              </w:rPr>
            </w:pPr>
            <w:r>
              <w:rPr>
                <w:rFonts w:hint="eastAsia" w:ascii="宋体" w:hAnsi="宋体" w:eastAsia="宋体" w:cs="宋体"/>
                <w:color w:val="auto"/>
                <w:sz w:val="20"/>
                <w:szCs w:val="20"/>
                <w:highlight w:val="none"/>
                <w:lang w:bidi="ar"/>
              </w:rPr>
              <w:t>5.网卡：集成英特尔自适应10/100/1000M网卡。</w:t>
            </w:r>
          </w:p>
          <w:p w14:paraId="2DC5668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88" w:lineRule="auto"/>
              <w:ind w:left="0" w:right="0"/>
              <w:jc w:val="left"/>
              <w:textAlignment w:val="auto"/>
              <w:rPr>
                <w:rFonts w:hint="eastAsia" w:ascii="宋体" w:hAnsi="宋体" w:eastAsia="宋体" w:cs="宋体"/>
                <w:color w:val="auto"/>
                <w:sz w:val="20"/>
                <w:szCs w:val="20"/>
                <w:highlight w:val="none"/>
                <w:lang w:bidi="ar"/>
              </w:rPr>
            </w:pPr>
            <w:r>
              <w:rPr>
                <w:rFonts w:hint="eastAsia" w:ascii="宋体" w:hAnsi="宋体" w:eastAsia="宋体" w:cs="宋体"/>
                <w:color w:val="auto"/>
                <w:sz w:val="20"/>
                <w:szCs w:val="20"/>
                <w:highlight w:val="none"/>
                <w:lang w:bidi="ar"/>
              </w:rPr>
              <w:t>6.显卡：≥8G显存。</w:t>
            </w:r>
          </w:p>
          <w:p w14:paraId="6DCF3CE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88" w:lineRule="auto"/>
              <w:ind w:left="0" w:right="0"/>
              <w:jc w:val="left"/>
              <w:textAlignment w:val="auto"/>
              <w:rPr>
                <w:rFonts w:hint="eastAsia" w:ascii="宋体" w:hAnsi="宋体" w:eastAsia="宋体" w:cs="宋体"/>
                <w:color w:val="auto"/>
                <w:sz w:val="20"/>
                <w:szCs w:val="20"/>
                <w:highlight w:val="none"/>
                <w:lang w:bidi="ar"/>
              </w:rPr>
            </w:pPr>
            <w:r>
              <w:rPr>
                <w:rFonts w:hint="eastAsia" w:ascii="宋体" w:hAnsi="宋体" w:eastAsia="宋体" w:cs="宋体"/>
                <w:color w:val="auto"/>
                <w:sz w:val="20"/>
                <w:szCs w:val="20"/>
                <w:highlight w:val="none"/>
                <w:lang w:bidi="ar"/>
              </w:rPr>
              <w:t>7.显示器：≥</w:t>
            </w:r>
            <w:r>
              <w:rPr>
                <w:rFonts w:hint="eastAsia" w:ascii="宋体" w:hAnsi="宋体" w:eastAsia="宋体" w:cs="宋体"/>
                <w:b/>
                <w:bCs/>
                <w:color w:val="auto"/>
                <w:sz w:val="20"/>
                <w:szCs w:val="20"/>
                <w:highlight w:val="none"/>
                <w:lang w:bidi="ar"/>
              </w:rPr>
              <w:t>23英寸显示器</w:t>
            </w:r>
            <w:r>
              <w:rPr>
                <w:rFonts w:hint="eastAsia" w:ascii="宋体" w:hAnsi="宋体" w:eastAsia="宋体" w:cs="宋体"/>
                <w:color w:val="auto"/>
                <w:sz w:val="20"/>
                <w:szCs w:val="20"/>
                <w:highlight w:val="none"/>
                <w:lang w:bidi="ar"/>
              </w:rPr>
              <w:t>,VGA,HDMI接口,250nits。</w:t>
            </w:r>
          </w:p>
          <w:p w14:paraId="389E248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88" w:lineRule="auto"/>
              <w:ind w:left="0" w:right="0"/>
              <w:jc w:val="left"/>
              <w:textAlignment w:val="auto"/>
              <w:rPr>
                <w:rFonts w:hint="eastAsia" w:ascii="宋体" w:hAnsi="宋体" w:eastAsia="宋体" w:cs="宋体"/>
                <w:color w:val="auto"/>
                <w:sz w:val="20"/>
                <w:szCs w:val="20"/>
                <w:highlight w:val="none"/>
                <w:lang w:bidi="ar"/>
              </w:rPr>
            </w:pPr>
            <w:r>
              <w:rPr>
                <w:rFonts w:hint="eastAsia" w:ascii="宋体" w:hAnsi="宋体" w:eastAsia="宋体" w:cs="宋体"/>
                <w:color w:val="auto"/>
                <w:sz w:val="20"/>
                <w:szCs w:val="20"/>
                <w:highlight w:val="none"/>
                <w:lang w:bidi="ar"/>
              </w:rPr>
              <w:t>8.键盘、鼠标：与主机同品牌防水抗菌键盘，USB光电鼠标。</w:t>
            </w:r>
          </w:p>
          <w:p w14:paraId="38A3AD0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88" w:lineRule="auto"/>
              <w:ind w:left="0" w:right="0"/>
              <w:jc w:val="left"/>
              <w:textAlignment w:val="auto"/>
              <w:rPr>
                <w:rFonts w:hint="eastAsia" w:ascii="宋体" w:hAnsi="宋体" w:eastAsia="宋体" w:cs="宋体"/>
                <w:color w:val="auto"/>
                <w:sz w:val="20"/>
                <w:szCs w:val="20"/>
                <w:highlight w:val="none"/>
                <w:lang w:bidi="ar"/>
              </w:rPr>
            </w:pPr>
            <w:r>
              <w:rPr>
                <w:rFonts w:hint="eastAsia" w:ascii="宋体" w:hAnsi="宋体" w:eastAsia="宋体" w:cs="宋体"/>
                <w:color w:val="auto"/>
                <w:sz w:val="20"/>
                <w:szCs w:val="20"/>
                <w:highlight w:val="none"/>
                <w:lang w:bidi="ar"/>
              </w:rPr>
              <w:t>9.配套机箱：15L立式机箱\顶置提手。</w:t>
            </w:r>
          </w:p>
          <w:p w14:paraId="15C068C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88" w:lineRule="auto"/>
              <w:ind w:left="0" w:right="0"/>
              <w:jc w:val="left"/>
              <w:textAlignment w:val="auto"/>
              <w:rPr>
                <w:rFonts w:hint="eastAsia" w:ascii="宋体" w:hAnsi="宋体" w:eastAsia="宋体" w:cs="宋体"/>
                <w:color w:val="auto"/>
                <w:sz w:val="20"/>
                <w:szCs w:val="20"/>
                <w:highlight w:val="none"/>
                <w:lang w:bidi="ar"/>
              </w:rPr>
            </w:pPr>
            <w:r>
              <w:rPr>
                <w:rFonts w:hint="eastAsia" w:ascii="宋体" w:hAnsi="宋体" w:eastAsia="宋体" w:cs="宋体"/>
                <w:color w:val="auto"/>
                <w:sz w:val="20"/>
                <w:szCs w:val="20"/>
                <w:highlight w:val="none"/>
                <w:lang w:bidi="ar"/>
              </w:rPr>
              <w:t>▲10.支持通过蓝牙绑定手机，当手机在蓝牙范围内可越过BIOS密码直接免密进入系统，若当获得过许可的手机不在蓝牙范围内时，则必须输入 BIOS密码才能进入系统，提供官网截图予以佐证。</w:t>
            </w:r>
          </w:p>
          <w:p w14:paraId="59A7577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88" w:lineRule="auto"/>
              <w:ind w:left="0" w:right="0"/>
              <w:jc w:val="left"/>
              <w:textAlignment w:val="auto"/>
              <w:rPr>
                <w:rFonts w:hint="eastAsia" w:ascii="宋体" w:hAnsi="宋体" w:eastAsia="宋体" w:cs="宋体"/>
                <w:color w:val="auto"/>
                <w:sz w:val="20"/>
                <w:szCs w:val="20"/>
                <w:highlight w:val="none"/>
                <w:lang w:bidi="ar"/>
              </w:rPr>
            </w:pPr>
            <w:r>
              <w:rPr>
                <w:rFonts w:hint="eastAsia" w:ascii="宋体" w:hAnsi="宋体" w:eastAsia="宋体" w:cs="宋体"/>
                <w:color w:val="auto"/>
                <w:sz w:val="20"/>
                <w:szCs w:val="20"/>
                <w:highlight w:val="none"/>
                <w:lang w:bidi="ar"/>
              </w:rPr>
              <w:t>11.网络同传功能：具备在 windows 界面下即时还原、自动分配 IP、智能排序、网络同传、断点续传、断电续传、网络唤醒、终端端口锁定、资产实时监控和网络智能备份等功能。</w:t>
            </w:r>
          </w:p>
          <w:p w14:paraId="1D10101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88" w:lineRule="auto"/>
              <w:ind w:left="0" w:right="0"/>
              <w:jc w:val="left"/>
              <w:textAlignment w:val="auto"/>
              <w:rPr>
                <w:rFonts w:hint="eastAsia" w:ascii="宋体" w:hAnsi="宋体" w:eastAsia="宋体" w:cs="宋体"/>
                <w:color w:val="auto"/>
                <w:sz w:val="20"/>
                <w:szCs w:val="20"/>
                <w:highlight w:val="none"/>
                <w:lang w:bidi="ar"/>
              </w:rPr>
            </w:pPr>
            <w:r>
              <w:rPr>
                <w:rFonts w:hint="eastAsia" w:ascii="宋体" w:hAnsi="宋体" w:eastAsia="宋体" w:cs="宋体"/>
                <w:color w:val="auto"/>
                <w:sz w:val="20"/>
                <w:szCs w:val="20"/>
                <w:highlight w:val="none"/>
                <w:lang w:bidi="ar"/>
              </w:rPr>
              <w:t>▲12.产品通过设备可靠性试验恒定失效率假设下的失效率与平均无故障时间的验证试验方案，MTBF平均无故障运行时间M1值不低于1100000h(M0值为2200000h)，提供具有</w:t>
            </w:r>
            <w:r>
              <w:rPr>
                <w:rFonts w:hint="eastAsia" w:ascii="宋体" w:hAnsi="宋体" w:eastAsia="宋体" w:cs="宋体"/>
                <w:color w:val="auto"/>
                <w:sz w:val="20"/>
                <w:szCs w:val="20"/>
                <w:highlight w:val="none"/>
                <w:lang w:val="en-US" w:eastAsia="zh-CN" w:bidi="ar"/>
              </w:rPr>
              <w:t>第三方机构</w:t>
            </w:r>
            <w:r>
              <w:rPr>
                <w:rFonts w:hint="eastAsia" w:ascii="宋体" w:hAnsi="宋体" w:eastAsia="宋体" w:cs="宋体"/>
                <w:color w:val="auto"/>
                <w:sz w:val="20"/>
                <w:szCs w:val="20"/>
                <w:highlight w:val="none"/>
                <w:lang w:bidi="ar"/>
              </w:rPr>
              <w:t>检测报告或认证证书扫描件予以佐证。</w:t>
            </w:r>
          </w:p>
          <w:p w14:paraId="4453DDA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88" w:lineRule="auto"/>
              <w:ind w:left="0" w:right="0"/>
              <w:jc w:val="left"/>
              <w:textAlignment w:val="auto"/>
              <w:rPr>
                <w:rFonts w:hint="eastAsia" w:ascii="宋体" w:hAnsi="宋体" w:eastAsia="宋体" w:cs="宋体"/>
                <w:color w:val="auto"/>
                <w:sz w:val="20"/>
                <w:szCs w:val="20"/>
                <w:highlight w:val="none"/>
                <w:lang w:bidi="ar"/>
              </w:rPr>
            </w:pPr>
            <w:r>
              <w:rPr>
                <w:rFonts w:hint="eastAsia" w:ascii="宋体" w:hAnsi="宋体" w:eastAsia="宋体" w:cs="宋体"/>
                <w:color w:val="auto"/>
                <w:sz w:val="20"/>
                <w:szCs w:val="20"/>
                <w:highlight w:val="none"/>
                <w:lang w:bidi="ar"/>
              </w:rPr>
              <w:t>▲13.产品通过数据接口性能测试且满足USB数据接口的输出电压范围：4.75-5.25Vdc、USB数据接口的输出电流范围：500mA-1500mA、USB数据接口的无负载能量消耗：≤150mW、USB数据接口的接触电流≤20uA检查结果为通过，提供具有</w:t>
            </w:r>
            <w:r>
              <w:rPr>
                <w:rFonts w:hint="eastAsia" w:ascii="宋体" w:hAnsi="宋体" w:eastAsia="宋体" w:cs="宋体"/>
                <w:color w:val="auto"/>
                <w:sz w:val="20"/>
                <w:szCs w:val="20"/>
                <w:highlight w:val="none"/>
                <w:lang w:val="en-US" w:eastAsia="zh-CN" w:bidi="ar"/>
              </w:rPr>
              <w:t>第三方机构</w:t>
            </w:r>
            <w:r>
              <w:rPr>
                <w:rFonts w:hint="eastAsia" w:ascii="宋体" w:hAnsi="宋体" w:eastAsia="宋体" w:cs="宋体"/>
                <w:color w:val="auto"/>
                <w:sz w:val="20"/>
                <w:szCs w:val="20"/>
                <w:highlight w:val="none"/>
                <w:lang w:bidi="ar"/>
              </w:rPr>
              <w:t>的检测报告或认证证书扫描件予以佐证。</w:t>
            </w:r>
          </w:p>
          <w:p w14:paraId="7FE267A4">
            <w:pPr>
              <w:keepNext w:val="0"/>
              <w:keepLines w:val="0"/>
              <w:pageBreakBefore w:val="0"/>
              <w:kinsoku/>
              <w:wordWrap/>
              <w:overflowPunct/>
              <w:topLinePunct w:val="0"/>
              <w:autoSpaceDE/>
              <w:autoSpaceDN/>
              <w:bidi w:val="0"/>
              <w:adjustRightInd/>
              <w:snapToGrid/>
              <w:ind w:firstLine="0"/>
              <w:jc w:val="left"/>
              <w:textAlignment w:val="auto"/>
              <w:rPr>
                <w:rFonts w:hint="eastAsia" w:ascii="宋体" w:hAnsi="宋体" w:eastAsia="宋体" w:cs="宋体"/>
                <w:color w:val="auto"/>
                <w:sz w:val="20"/>
                <w:szCs w:val="20"/>
                <w:highlight w:val="none"/>
                <w:lang w:val="en-US" w:eastAsia="zh-Hans"/>
              </w:rPr>
            </w:pPr>
            <w:r>
              <w:rPr>
                <w:rFonts w:hint="eastAsia" w:ascii="宋体" w:hAnsi="宋体" w:eastAsia="宋体" w:cs="宋体"/>
                <w:color w:val="auto"/>
                <w:sz w:val="20"/>
                <w:szCs w:val="20"/>
                <w:highlight w:val="none"/>
                <w:lang w:val="en-US" w:eastAsia="zh-Hans" w:bidi="ar"/>
              </w:rPr>
              <w:t>▲14.具有中文BIOS UEFI图形操作界面,同时可以通过鼠标来进行操作且不低于6种语言模式切换，提供功能演示视频予以佐证</w:t>
            </w:r>
          </w:p>
        </w:tc>
      </w:tr>
    </w:tbl>
    <w:p w14:paraId="2F6EA060">
      <w:pPr>
        <w:ind w:firstLine="480"/>
        <w:jc w:val="left"/>
        <w:rPr>
          <w:rFonts w:hint="eastAsia" w:ascii="Calibri" w:hAnsi="Calibri" w:eastAsia="宋体" w:cs="Times New Roman"/>
          <w:color w:val="auto"/>
          <w:highlight w:val="none"/>
          <w:lang w:val="en-US" w:eastAsia="zh-Hans"/>
        </w:rPr>
      </w:pPr>
      <w:r>
        <w:rPr>
          <w:rFonts w:hint="eastAsia" w:ascii="仿宋_GB2312" w:hAnsi="仿宋_GB2312" w:eastAsia="仿宋_GB2312" w:cs="仿宋_GB2312"/>
          <w:color w:val="auto"/>
          <w:highlight w:val="none"/>
          <w:lang w:val="en-US" w:eastAsia="zh-Hans"/>
        </w:rPr>
        <w:t>四、服务要求</w:t>
      </w:r>
    </w:p>
    <w:p w14:paraId="01109F61">
      <w:pPr>
        <w:ind w:firstLine="480"/>
        <w:jc w:val="left"/>
        <w:rPr>
          <w:rFonts w:hint="eastAsia" w:ascii="Calibri" w:hAnsi="Calibri" w:eastAsia="宋体" w:cs="Times New Roman"/>
          <w:color w:val="auto"/>
          <w:highlight w:val="none"/>
          <w:lang w:val="en-US" w:eastAsia="zh-Hans"/>
        </w:rPr>
      </w:pPr>
      <w:r>
        <w:rPr>
          <w:rFonts w:hint="eastAsia" w:ascii="仿宋_GB2312" w:hAnsi="仿宋_GB2312" w:eastAsia="仿宋_GB2312" w:cs="仿宋_GB2312"/>
          <w:color w:val="auto"/>
          <w:highlight w:val="none"/>
          <w:lang w:val="en-US" w:eastAsia="zh-Hans"/>
        </w:rPr>
        <w:t>1.1服务内容要求</w:t>
      </w:r>
    </w:p>
    <w:p w14:paraId="3B8E13C9">
      <w:pPr>
        <w:jc w:val="left"/>
        <w:rPr>
          <w:rFonts w:hint="eastAsia" w:ascii="Calibri" w:hAnsi="Calibri" w:eastAsia="宋体" w:cs="Times New Roman"/>
          <w:color w:val="auto"/>
          <w:highlight w:val="none"/>
          <w:lang w:val="en-US" w:eastAsia="zh-Hans"/>
        </w:rPr>
      </w:pPr>
      <w:r>
        <w:rPr>
          <w:rFonts w:hint="eastAsia" w:ascii="仿宋_GB2312" w:hAnsi="仿宋_GB2312" w:eastAsia="仿宋_GB2312" w:cs="仿宋_GB2312"/>
          <w:color w:val="auto"/>
          <w:highlight w:val="none"/>
          <w:lang w:val="en-US" w:eastAsia="zh-Hans"/>
        </w:rPr>
        <w:t>采购包1：</w:t>
      </w:r>
    </w:p>
    <w:tbl>
      <w:tblPr>
        <w:tblStyle w:val="2"/>
        <w:tblW w:w="9018"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97"/>
        <w:gridCol w:w="1332"/>
        <w:gridCol w:w="6589"/>
      </w:tblGrid>
      <w:tr w14:paraId="4AAB85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50" w:hRule="atLeast"/>
        </w:trPr>
        <w:tc>
          <w:tcPr>
            <w:tcW w:w="1097" w:type="dxa"/>
            <w:vAlign w:val="center"/>
          </w:tcPr>
          <w:p w14:paraId="38DBD533">
            <w:pPr>
              <w:jc w:val="center"/>
              <w:rPr>
                <w:rFonts w:hint="eastAsia" w:ascii="Calibri" w:hAnsi="Calibri" w:eastAsia="宋体" w:cs="Times New Roman"/>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序号</w:t>
            </w:r>
          </w:p>
        </w:tc>
        <w:tc>
          <w:tcPr>
            <w:tcW w:w="1332" w:type="dxa"/>
            <w:vAlign w:val="center"/>
          </w:tcPr>
          <w:p w14:paraId="5DF146AF">
            <w:pPr>
              <w:jc w:val="center"/>
              <w:rPr>
                <w:rFonts w:hint="eastAsia" w:ascii="Calibri" w:hAnsi="Calibri" w:eastAsia="宋体" w:cs="Times New Roman"/>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参数性质</w:t>
            </w:r>
          </w:p>
        </w:tc>
        <w:tc>
          <w:tcPr>
            <w:tcW w:w="6589" w:type="dxa"/>
            <w:vAlign w:val="center"/>
          </w:tcPr>
          <w:p w14:paraId="7B216855">
            <w:pPr>
              <w:jc w:val="center"/>
              <w:rPr>
                <w:rFonts w:hint="eastAsia" w:ascii="Calibri" w:hAnsi="Calibri" w:eastAsia="宋体" w:cs="Times New Roman"/>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服务要求明细</w:t>
            </w:r>
          </w:p>
        </w:tc>
      </w:tr>
      <w:tr w14:paraId="4BA86F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86" w:hRule="atLeast"/>
        </w:trPr>
        <w:tc>
          <w:tcPr>
            <w:tcW w:w="1097" w:type="dxa"/>
            <w:vAlign w:val="center"/>
          </w:tcPr>
          <w:p w14:paraId="4466A383">
            <w:pPr>
              <w:jc w:val="center"/>
              <w:rPr>
                <w:rFonts w:hint="eastAsia" w:ascii="Calibri" w:hAnsi="Calibri" w:eastAsia="宋体" w:cs="Times New Roman"/>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1</w:t>
            </w:r>
          </w:p>
        </w:tc>
        <w:tc>
          <w:tcPr>
            <w:tcW w:w="1332" w:type="dxa"/>
            <w:vAlign w:val="center"/>
          </w:tcPr>
          <w:p w14:paraId="67D08F4B">
            <w:pPr>
              <w:jc w:val="center"/>
              <w:rPr>
                <w:rFonts w:hint="eastAsia" w:ascii="Calibri" w:hAnsi="Calibri" w:eastAsia="宋体" w:cs="Times New Roman"/>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w:t>
            </w:r>
          </w:p>
        </w:tc>
        <w:tc>
          <w:tcPr>
            <w:tcW w:w="6589" w:type="dxa"/>
          </w:tcPr>
          <w:p w14:paraId="0218240C">
            <w:pPr>
              <w:keepNext w:val="0"/>
              <w:keepLines w:val="0"/>
              <w:suppressLineNumbers w:val="0"/>
              <w:spacing w:before="0" w:beforeAutospacing="0" w:afterAutospacing="0"/>
              <w:ind w:left="0" w:right="0"/>
              <w:jc w:val="lef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3.安装面板需同时集成双六轴机械臂系统、2D视觉协同感知系统、深度视觉协同感知系统、语音交互单元、多模态协同感知模组、运算单元，满足多门课程的教学要求；</w:t>
            </w:r>
          </w:p>
          <w:p w14:paraId="5BB17855">
            <w:pPr>
              <w:jc w:val="left"/>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CN"/>
              </w:rPr>
              <w:t>投标时提供产品实物图，标注以上各个模块的位置。</w:t>
            </w:r>
          </w:p>
        </w:tc>
      </w:tr>
      <w:tr w14:paraId="04F1EF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86" w:hRule="atLeast"/>
        </w:trPr>
        <w:tc>
          <w:tcPr>
            <w:tcW w:w="1097" w:type="dxa"/>
            <w:vAlign w:val="center"/>
          </w:tcPr>
          <w:p w14:paraId="2EE04C80">
            <w:pPr>
              <w:jc w:val="center"/>
              <w:rPr>
                <w:rFonts w:hint="eastAsia" w:ascii="Calibri" w:hAnsi="Calibri" w:eastAsia="宋体" w:cs="Times New Roman"/>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2</w:t>
            </w:r>
          </w:p>
        </w:tc>
        <w:tc>
          <w:tcPr>
            <w:tcW w:w="1332" w:type="dxa"/>
            <w:vAlign w:val="center"/>
          </w:tcPr>
          <w:p w14:paraId="2ADAD0B8">
            <w:pPr>
              <w:jc w:val="center"/>
              <w:rPr>
                <w:rFonts w:hint="eastAsia" w:ascii="Calibri" w:hAnsi="Calibri" w:eastAsia="宋体" w:cs="Times New Roman"/>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w:t>
            </w:r>
          </w:p>
        </w:tc>
        <w:tc>
          <w:tcPr>
            <w:tcW w:w="6589" w:type="dxa"/>
          </w:tcPr>
          <w:p w14:paraId="1C2260D1">
            <w:pPr>
              <w:keepNext w:val="0"/>
              <w:keepLines w:val="0"/>
              <w:suppressLineNumbers w:val="0"/>
              <w:spacing w:before="0" w:beforeAutospacing="0" w:afterAutospacing="0"/>
              <w:ind w:left="0" w:right="0"/>
              <w:jc w:val="lef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4.鉴于本产品的使用场景和用途，所有零部件不得包含电子电气产品六种限用物质，且满足电气安全使用要求；</w:t>
            </w:r>
          </w:p>
          <w:p w14:paraId="547BEB05">
            <w:pPr>
              <w:jc w:val="both"/>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CN"/>
              </w:rPr>
              <w:t>投标时提供第三方检测机构出具的检测报告扫描件，并加盖投标人公章。</w:t>
            </w:r>
          </w:p>
        </w:tc>
      </w:tr>
      <w:tr w14:paraId="607883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41" w:hRule="atLeast"/>
        </w:trPr>
        <w:tc>
          <w:tcPr>
            <w:tcW w:w="1097" w:type="dxa"/>
            <w:vAlign w:val="center"/>
          </w:tcPr>
          <w:p w14:paraId="3FDE8276">
            <w:pPr>
              <w:jc w:val="center"/>
              <w:rPr>
                <w:rFonts w:hint="eastAsia" w:ascii="Calibri" w:hAnsi="Calibri" w:eastAsia="宋体" w:cs="Times New Roman"/>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3</w:t>
            </w:r>
          </w:p>
        </w:tc>
        <w:tc>
          <w:tcPr>
            <w:tcW w:w="1332" w:type="dxa"/>
            <w:vAlign w:val="center"/>
          </w:tcPr>
          <w:p w14:paraId="6C06F63B">
            <w:pPr>
              <w:jc w:val="center"/>
              <w:rPr>
                <w:rFonts w:ascii="Calibri" w:hAnsi="Calibri" w:eastAsia="宋体" w:cs="Times New Roman"/>
                <w:color w:val="auto"/>
                <w:sz w:val="20"/>
                <w:szCs w:val="20"/>
                <w:highlight w:val="none"/>
              </w:rPr>
            </w:pPr>
            <w:r>
              <w:rPr>
                <w:rFonts w:hint="eastAsia" w:ascii="仿宋" w:hAnsi="仿宋" w:eastAsia="仿宋" w:cs="仿宋"/>
                <w:b w:val="0"/>
                <w:bCs w:val="0"/>
                <w:color w:val="auto"/>
                <w:sz w:val="20"/>
                <w:szCs w:val="20"/>
                <w:highlight w:val="none"/>
                <w:lang w:val="en-US" w:eastAsia="zh-CN"/>
              </w:rPr>
              <w:t>★</w:t>
            </w:r>
          </w:p>
        </w:tc>
        <w:tc>
          <w:tcPr>
            <w:tcW w:w="6589" w:type="dxa"/>
          </w:tcPr>
          <w:p w14:paraId="463D7EF8">
            <w:pPr>
              <w:keepNext w:val="0"/>
              <w:keepLines w:val="0"/>
              <w:suppressLineNumbers w:val="0"/>
              <w:spacing w:before="0" w:beforeAutospacing="0" w:afterAutospacing="0"/>
              <w:ind w:left="0" w:right="0"/>
              <w:jc w:val="lef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（1）双六轴机械臂采用T型支架安装，左右各1台，实现对人体结构的仿真；</w:t>
            </w:r>
          </w:p>
          <w:p w14:paraId="0E51CAB3">
            <w:pPr>
              <w:jc w:val="both"/>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CN"/>
              </w:rPr>
              <w:t>投标时提供设备结构设计图。</w:t>
            </w:r>
          </w:p>
        </w:tc>
      </w:tr>
      <w:tr w14:paraId="0F4D1E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86" w:hRule="atLeast"/>
        </w:trPr>
        <w:tc>
          <w:tcPr>
            <w:tcW w:w="1097" w:type="dxa"/>
            <w:vAlign w:val="center"/>
          </w:tcPr>
          <w:p w14:paraId="7483C0A8">
            <w:pPr>
              <w:jc w:val="center"/>
              <w:rPr>
                <w:rFonts w:hint="eastAsia" w:ascii="Calibri" w:hAnsi="Calibri" w:eastAsia="宋体" w:cs="Times New Roman"/>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4</w:t>
            </w:r>
          </w:p>
        </w:tc>
        <w:tc>
          <w:tcPr>
            <w:tcW w:w="1332" w:type="dxa"/>
            <w:vAlign w:val="center"/>
          </w:tcPr>
          <w:p w14:paraId="305289A5">
            <w:pPr>
              <w:jc w:val="center"/>
              <w:rPr>
                <w:rFonts w:ascii="Calibri" w:hAnsi="Calibri" w:eastAsia="宋体" w:cs="Times New Roman"/>
                <w:color w:val="auto"/>
                <w:sz w:val="20"/>
                <w:szCs w:val="20"/>
                <w:highlight w:val="none"/>
              </w:rPr>
            </w:pPr>
            <w:r>
              <w:rPr>
                <w:rFonts w:hint="eastAsia" w:ascii="仿宋" w:hAnsi="仿宋" w:eastAsia="仿宋" w:cs="仿宋"/>
                <w:b w:val="0"/>
                <w:bCs w:val="0"/>
                <w:color w:val="auto"/>
                <w:sz w:val="20"/>
                <w:szCs w:val="20"/>
                <w:highlight w:val="none"/>
                <w:lang w:val="en-US" w:eastAsia="zh-CN"/>
              </w:rPr>
              <w:t>★</w:t>
            </w:r>
          </w:p>
        </w:tc>
        <w:tc>
          <w:tcPr>
            <w:tcW w:w="6589" w:type="dxa"/>
          </w:tcPr>
          <w:p w14:paraId="51EA1531">
            <w:pPr>
              <w:keepNext w:val="0"/>
              <w:keepLines w:val="0"/>
              <w:suppressLineNumbers w:val="0"/>
              <w:spacing w:before="0" w:beforeAutospacing="0" w:afterAutospacing="0"/>
              <w:ind w:left="0" w:right="0"/>
              <w:jc w:val="lef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（5）机械臂控制方式：支持手动控制、语音控制、视觉引导控制、上位机软件控制，可实现多模式切换；</w:t>
            </w:r>
          </w:p>
          <w:p w14:paraId="1B739C95">
            <w:pPr>
              <w:keepNext w:val="0"/>
              <w:keepLines w:val="0"/>
              <w:suppressLineNumbers w:val="0"/>
              <w:spacing w:before="0" w:beforeAutospacing="0" w:afterAutospacing="0"/>
              <w:ind w:left="0" w:right="0"/>
              <w:jc w:val="lef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投标时提供该模式切换的软件界面截图，要求体现上述控制功能。</w:t>
            </w:r>
          </w:p>
          <w:p w14:paraId="215C0674">
            <w:pPr>
              <w:jc w:val="both"/>
              <w:rPr>
                <w:rFonts w:hint="eastAsia" w:ascii="仿宋_GB2312" w:hAnsi="仿宋_GB2312" w:eastAsia="仿宋_GB2312" w:cs="仿宋_GB2312"/>
                <w:color w:val="auto"/>
                <w:kern w:val="0"/>
                <w:sz w:val="20"/>
                <w:szCs w:val="20"/>
                <w:highlight w:val="none"/>
                <w:lang w:val="en-US" w:eastAsia="zh-Hans"/>
              </w:rPr>
            </w:pPr>
          </w:p>
        </w:tc>
      </w:tr>
      <w:tr w14:paraId="400DE7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86" w:hRule="atLeast"/>
        </w:trPr>
        <w:tc>
          <w:tcPr>
            <w:tcW w:w="1097" w:type="dxa"/>
            <w:vAlign w:val="center"/>
          </w:tcPr>
          <w:p w14:paraId="1757EE75">
            <w:pPr>
              <w:jc w:val="center"/>
              <w:rPr>
                <w:rFonts w:hint="eastAsia" w:ascii="Calibri" w:hAnsi="Calibri" w:eastAsia="宋体" w:cs="Times New Roman"/>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5</w:t>
            </w:r>
          </w:p>
        </w:tc>
        <w:tc>
          <w:tcPr>
            <w:tcW w:w="1332" w:type="dxa"/>
            <w:vAlign w:val="center"/>
          </w:tcPr>
          <w:p w14:paraId="1AAC61B4">
            <w:pPr>
              <w:jc w:val="center"/>
              <w:rPr>
                <w:rFonts w:hint="eastAsia" w:ascii="Calibri" w:hAnsi="Calibri" w:eastAsia="宋体" w:cs="Times New Roman"/>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w:t>
            </w:r>
          </w:p>
        </w:tc>
        <w:tc>
          <w:tcPr>
            <w:tcW w:w="6589" w:type="dxa"/>
          </w:tcPr>
          <w:p w14:paraId="7557C91E">
            <w:pPr>
              <w:keepNext w:val="0"/>
              <w:keepLines w:val="0"/>
              <w:suppressLineNumbers w:val="0"/>
              <w:spacing w:before="0" w:beforeAutospacing="0" w:afterAutospacing="0"/>
              <w:ind w:left="0" w:right="0"/>
              <w:jc w:val="lef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（2）预留不少于3个标准化拓展接口，可兼容触觉压力传感器、六轴姿态陀螺仪、接近避障传感器的安装；</w:t>
            </w:r>
          </w:p>
          <w:p w14:paraId="60F24A74">
            <w:pPr>
              <w:keepNext w:val="0"/>
              <w:keepLines w:val="0"/>
              <w:suppressLineNumbers w:val="0"/>
              <w:spacing w:before="0" w:beforeAutospacing="0" w:afterAutospacing="0"/>
              <w:ind w:left="0" w:right="0"/>
              <w:jc w:val="left"/>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CN"/>
              </w:rPr>
              <w:t>投标时提供该拓展接口的实物图，并对各类传感器的拓展进行原理说明。</w:t>
            </w:r>
          </w:p>
        </w:tc>
      </w:tr>
      <w:tr w14:paraId="691372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41" w:hRule="atLeast"/>
        </w:trPr>
        <w:tc>
          <w:tcPr>
            <w:tcW w:w="1097" w:type="dxa"/>
            <w:vAlign w:val="center"/>
          </w:tcPr>
          <w:p w14:paraId="35FA835A">
            <w:pPr>
              <w:jc w:val="center"/>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6</w:t>
            </w:r>
          </w:p>
        </w:tc>
        <w:tc>
          <w:tcPr>
            <w:tcW w:w="1332" w:type="dxa"/>
            <w:vAlign w:val="center"/>
          </w:tcPr>
          <w:p w14:paraId="73679D1D">
            <w:pPr>
              <w:jc w:val="center"/>
              <w:rPr>
                <w:rFonts w:ascii="仿宋_GB2312" w:hAnsi="仿宋_GB2312" w:eastAsia="仿宋_GB2312" w:cs="仿宋_GB2312"/>
                <w:color w:val="auto"/>
                <w:sz w:val="20"/>
                <w:szCs w:val="20"/>
                <w:highlight w:val="none"/>
              </w:rPr>
            </w:pPr>
            <w:r>
              <w:rPr>
                <w:rFonts w:ascii="仿宋_GB2312" w:hAnsi="仿宋_GB2312" w:eastAsia="仿宋_GB2312" w:cs="仿宋_GB2312"/>
                <w:color w:val="auto"/>
                <w:sz w:val="20"/>
                <w:szCs w:val="20"/>
                <w:highlight w:val="none"/>
              </w:rPr>
              <w:t>▲</w:t>
            </w:r>
          </w:p>
        </w:tc>
        <w:tc>
          <w:tcPr>
            <w:tcW w:w="6589" w:type="dxa"/>
          </w:tcPr>
          <w:p w14:paraId="1661632C">
            <w:pPr>
              <w:keepNext w:val="0"/>
              <w:keepLines w:val="0"/>
              <w:suppressLineNumbers w:val="0"/>
              <w:spacing w:before="0" w:beforeAutospacing="0" w:afterAutospacing="0"/>
              <w:ind w:left="0" w:right="0"/>
              <w:jc w:val="left"/>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（3）深度相机支持手眼标定与空间定位，可引导双六轴机械臂完成目标定位、自主抓取等任务；</w:t>
            </w:r>
          </w:p>
          <w:p w14:paraId="7513F8DF">
            <w:pPr>
              <w:keepNext w:val="0"/>
              <w:keepLines w:val="0"/>
              <w:suppressLineNumbers w:val="0"/>
              <w:spacing w:before="0" w:beforeAutospacing="0" w:afterAutospacing="0"/>
              <w:ind w:left="0" w:right="0"/>
              <w:jc w:val="left"/>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投标时对该功能进行视频演示。</w:t>
            </w:r>
          </w:p>
        </w:tc>
      </w:tr>
      <w:tr w14:paraId="154F98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41" w:hRule="atLeast"/>
        </w:trPr>
        <w:tc>
          <w:tcPr>
            <w:tcW w:w="1097" w:type="dxa"/>
            <w:vAlign w:val="center"/>
          </w:tcPr>
          <w:p w14:paraId="748C4992">
            <w:pPr>
              <w:jc w:val="center"/>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7</w:t>
            </w:r>
          </w:p>
        </w:tc>
        <w:tc>
          <w:tcPr>
            <w:tcW w:w="1332" w:type="dxa"/>
            <w:vAlign w:val="center"/>
          </w:tcPr>
          <w:p w14:paraId="07CDEA53">
            <w:pPr>
              <w:jc w:val="center"/>
              <w:rPr>
                <w:rFonts w:ascii="仿宋_GB2312" w:hAnsi="仿宋_GB2312" w:eastAsia="仿宋_GB2312" w:cs="仿宋_GB2312"/>
                <w:color w:val="auto"/>
                <w:sz w:val="20"/>
                <w:szCs w:val="20"/>
                <w:highlight w:val="none"/>
              </w:rPr>
            </w:pPr>
            <w:r>
              <w:rPr>
                <w:rFonts w:ascii="仿宋_GB2312" w:hAnsi="仿宋_GB2312" w:eastAsia="仿宋_GB2312" w:cs="仿宋_GB2312"/>
                <w:color w:val="auto"/>
                <w:sz w:val="20"/>
                <w:szCs w:val="20"/>
                <w:highlight w:val="none"/>
              </w:rPr>
              <w:t>▲</w:t>
            </w:r>
          </w:p>
        </w:tc>
        <w:tc>
          <w:tcPr>
            <w:tcW w:w="6589" w:type="dxa"/>
          </w:tcPr>
          <w:p w14:paraId="4162400C">
            <w:pPr>
              <w:keepNext w:val="0"/>
              <w:keepLines w:val="0"/>
              <w:suppressLineNumbers w:val="0"/>
              <w:spacing w:before="0" w:beforeAutospacing="0" w:afterAutospacing="0"/>
              <w:ind w:left="0" w:right="0"/>
              <w:jc w:val="left"/>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12.部署多模态协同感知模组，具体功能和要求：</w:t>
            </w:r>
          </w:p>
          <w:p w14:paraId="4B9CD150">
            <w:pPr>
              <w:keepNext w:val="0"/>
              <w:keepLines w:val="0"/>
              <w:suppressLineNumbers w:val="0"/>
              <w:spacing w:before="0" w:beforeAutospacing="0" w:afterAutospacing="0"/>
              <w:ind w:left="0" w:right="0"/>
              <w:jc w:val="left"/>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（1）触觉压力传感器，适配双六轴机械臂末端拓展器，数量：2套；压力检测范围0.2N～29N，感应区直径：≥8mm，响应速度：≤10ms，支持随机械臂抓取动作实时采集压力数据；</w:t>
            </w:r>
          </w:p>
          <w:p w14:paraId="554E21A5">
            <w:pPr>
              <w:keepNext w:val="0"/>
              <w:keepLines w:val="0"/>
              <w:suppressLineNumbers w:val="0"/>
              <w:spacing w:before="0" w:beforeAutospacing="0" w:afterAutospacing="0"/>
              <w:ind w:left="0" w:right="0"/>
              <w:jc w:val="left"/>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投标时提供硬件实物图。</w:t>
            </w:r>
          </w:p>
          <w:p w14:paraId="21D9965A">
            <w:pPr>
              <w:keepNext w:val="0"/>
              <w:keepLines w:val="0"/>
              <w:suppressLineNumbers w:val="0"/>
              <w:spacing w:before="0" w:beforeAutospacing="0" w:afterAutospacing="0"/>
              <w:ind w:left="0" w:right="0"/>
              <w:jc w:val="left"/>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（2）六轴姿态陀螺仪，适配双六轴机械臂末端拓展器，数量：2套；最大采样率：≥250Hz，支持随机械臂姿态变化实时采集关节运动角度、加速度数据；</w:t>
            </w:r>
          </w:p>
          <w:p w14:paraId="04C3A251">
            <w:pPr>
              <w:keepNext w:val="0"/>
              <w:keepLines w:val="0"/>
              <w:suppressLineNumbers w:val="0"/>
              <w:spacing w:before="0" w:beforeAutospacing="0" w:afterAutospacing="0"/>
              <w:ind w:left="0" w:right="0"/>
              <w:jc w:val="left"/>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投标时提供硬件实物图。</w:t>
            </w:r>
          </w:p>
          <w:p w14:paraId="17534AA3">
            <w:pPr>
              <w:keepNext w:val="0"/>
              <w:keepLines w:val="0"/>
              <w:suppressLineNumbers w:val="0"/>
              <w:spacing w:before="0" w:beforeAutospacing="0" w:afterAutospacing="0"/>
              <w:ind w:left="0" w:right="0"/>
              <w:jc w:val="left"/>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（3）接近避障传感器，适配双六轴机械臂末端拓展器，数量：2套；检测距离：0.04～2米，分辨率：≤1mm，支持随机械臂运动实时检测周围障碍物距离。</w:t>
            </w:r>
          </w:p>
          <w:p w14:paraId="07654F79">
            <w:pPr>
              <w:keepNext w:val="0"/>
              <w:keepLines w:val="0"/>
              <w:suppressLineNumbers w:val="0"/>
              <w:spacing w:before="0" w:beforeAutospacing="0" w:afterAutospacing="0"/>
              <w:ind w:left="0" w:right="0"/>
              <w:jc w:val="left"/>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投标时提供硬件实物图。</w:t>
            </w:r>
          </w:p>
        </w:tc>
      </w:tr>
      <w:tr w14:paraId="3699B1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86" w:hRule="atLeast"/>
        </w:trPr>
        <w:tc>
          <w:tcPr>
            <w:tcW w:w="1097" w:type="dxa"/>
            <w:vAlign w:val="center"/>
          </w:tcPr>
          <w:p w14:paraId="4776EE2A">
            <w:pPr>
              <w:jc w:val="center"/>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8</w:t>
            </w:r>
          </w:p>
        </w:tc>
        <w:tc>
          <w:tcPr>
            <w:tcW w:w="1332" w:type="dxa"/>
            <w:vAlign w:val="center"/>
          </w:tcPr>
          <w:p w14:paraId="42949EBF">
            <w:pPr>
              <w:jc w:val="center"/>
              <w:rPr>
                <w:rFonts w:ascii="仿宋_GB2312" w:hAnsi="仿宋_GB2312" w:eastAsia="仿宋_GB2312" w:cs="仿宋_GB2312"/>
                <w:color w:val="auto"/>
                <w:sz w:val="20"/>
                <w:szCs w:val="20"/>
                <w:highlight w:val="none"/>
              </w:rPr>
            </w:pPr>
            <w:r>
              <w:rPr>
                <w:rFonts w:ascii="仿宋_GB2312" w:hAnsi="仿宋_GB2312" w:eastAsia="仿宋_GB2312" w:cs="仿宋_GB2312"/>
                <w:color w:val="auto"/>
                <w:sz w:val="20"/>
                <w:szCs w:val="20"/>
                <w:highlight w:val="none"/>
              </w:rPr>
              <w:t>▲</w:t>
            </w:r>
          </w:p>
        </w:tc>
        <w:tc>
          <w:tcPr>
            <w:tcW w:w="6589" w:type="dxa"/>
          </w:tcPr>
          <w:p w14:paraId="10828DAD">
            <w:pPr>
              <w:keepNext w:val="0"/>
              <w:keepLines w:val="0"/>
              <w:suppressLineNumbers w:val="0"/>
              <w:spacing w:before="0" w:beforeAutospacing="0" w:afterAutospacing="0"/>
              <w:ind w:left="0" w:right="0"/>
              <w:jc w:val="left"/>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（2）支持多模态感知数据同步采集，可实时获取触觉压力、空间姿态、接近避障、视觉、语音等五类感知数据，并在界面实时显示；</w:t>
            </w:r>
          </w:p>
          <w:p w14:paraId="4BA256A7">
            <w:pPr>
              <w:keepNext w:val="0"/>
              <w:keepLines w:val="0"/>
              <w:suppressLineNumbers w:val="0"/>
              <w:spacing w:before="0" w:beforeAutospacing="0" w:afterAutospacing="0"/>
              <w:ind w:left="0" w:right="0"/>
              <w:jc w:val="left"/>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投标时提供可视化界面截图，并对五类感知数据的显示进行视频演示。</w:t>
            </w:r>
          </w:p>
        </w:tc>
      </w:tr>
      <w:tr w14:paraId="7C8750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86" w:hRule="atLeast"/>
        </w:trPr>
        <w:tc>
          <w:tcPr>
            <w:tcW w:w="1097" w:type="dxa"/>
            <w:vAlign w:val="center"/>
          </w:tcPr>
          <w:p w14:paraId="4D1D9161">
            <w:pPr>
              <w:jc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w:t>
            </w:r>
          </w:p>
        </w:tc>
        <w:tc>
          <w:tcPr>
            <w:tcW w:w="1332" w:type="dxa"/>
            <w:shd w:val="clear" w:color="auto" w:fill="auto"/>
            <w:vAlign w:val="center"/>
          </w:tcPr>
          <w:p w14:paraId="785F7751">
            <w:pPr>
              <w:jc w:val="center"/>
              <w:rPr>
                <w:rFonts w:ascii="Calibri" w:hAnsi="Calibri" w:eastAsia="宋体" w:cs="Times New Roman"/>
                <w:color w:val="auto"/>
                <w:kern w:val="2"/>
                <w:sz w:val="20"/>
                <w:szCs w:val="20"/>
                <w:highlight w:val="none"/>
                <w:lang w:val="en-US" w:eastAsia="zh-CN" w:bidi="ar-SA"/>
              </w:rPr>
            </w:pPr>
            <w:r>
              <w:rPr>
                <w:rFonts w:hint="eastAsia" w:ascii="仿宋" w:hAnsi="仿宋" w:eastAsia="仿宋" w:cs="仿宋"/>
                <w:b w:val="0"/>
                <w:bCs w:val="0"/>
                <w:color w:val="auto"/>
                <w:sz w:val="20"/>
                <w:szCs w:val="20"/>
                <w:highlight w:val="none"/>
                <w:lang w:val="en-US" w:eastAsia="zh-CN"/>
              </w:rPr>
              <w:t>★</w:t>
            </w:r>
          </w:p>
        </w:tc>
        <w:tc>
          <w:tcPr>
            <w:tcW w:w="6589" w:type="dxa"/>
          </w:tcPr>
          <w:p w14:paraId="7A210117">
            <w:pPr>
              <w:keepNext w:val="0"/>
              <w:keepLines w:val="0"/>
              <w:suppressLineNumbers w:val="0"/>
              <w:spacing w:before="0" w:beforeAutospacing="0" w:afterAutospacing="0"/>
              <w:ind w:left="0" w:right="0"/>
              <w:jc w:val="left"/>
              <w:rPr>
                <w:rFonts w:hint="eastAsia" w:ascii="仿宋" w:hAnsi="仿宋" w:eastAsia="仿宋" w:cs="仿宋"/>
                <w:b/>
                <w:bCs/>
                <w:color w:val="auto"/>
                <w:sz w:val="20"/>
                <w:szCs w:val="20"/>
                <w:highlight w:val="none"/>
                <w:lang w:val="en-US" w:eastAsia="zh-CN"/>
              </w:rPr>
            </w:pPr>
            <w:r>
              <w:rPr>
                <w:rFonts w:hint="eastAsia" w:ascii="仿宋" w:hAnsi="仿宋" w:eastAsia="仿宋" w:cs="仿宋"/>
                <w:color w:val="auto"/>
                <w:kern w:val="0"/>
                <w:sz w:val="20"/>
                <w:szCs w:val="20"/>
                <w:highlight w:val="none"/>
                <w14:ligatures w14:val="none"/>
              </w:rPr>
              <w:t>4.开发平台：CPU≥8核，搭载智能计算芯片，AI算力≥10TOPS，支持Transfomer、RWKV、Occupancy、Stereo Perception等多种复杂模型和最新算法，支持搭载摄像头</w:t>
            </w:r>
            <w:r>
              <w:rPr>
                <w:rFonts w:hint="eastAsia" w:ascii="仿宋" w:hAnsi="仿宋" w:eastAsia="仿宋" w:cs="仿宋"/>
                <w:color w:val="auto"/>
                <w:kern w:val="0"/>
                <w:sz w:val="20"/>
                <w:szCs w:val="20"/>
                <w:highlight w:val="none"/>
                <w:lang w:eastAsia="zh-CN"/>
                <w14:ligatures w14:val="none"/>
              </w:rPr>
              <w:t>，</w:t>
            </w:r>
            <w:r>
              <w:rPr>
                <w:rFonts w:hint="eastAsia" w:ascii="仿宋" w:hAnsi="仿宋" w:eastAsia="仿宋" w:cs="仿宋"/>
                <w:color w:val="auto"/>
                <w:kern w:val="0"/>
                <w:sz w:val="20"/>
                <w:szCs w:val="20"/>
                <w:highlight w:val="none"/>
                <w:lang w:val="en-US" w:eastAsia="zh-CN"/>
                <w14:ligatures w14:val="none"/>
              </w:rPr>
              <w:t>支持接入本地部署大模型</w:t>
            </w:r>
            <w:r>
              <w:rPr>
                <w:rFonts w:hint="eastAsia" w:ascii="仿宋" w:hAnsi="仿宋" w:eastAsia="仿宋" w:cs="仿宋"/>
                <w:color w:val="auto"/>
                <w:kern w:val="0"/>
                <w:sz w:val="20"/>
                <w:szCs w:val="20"/>
                <w:highlight w:val="none"/>
                <w14:ligatures w14:val="none"/>
              </w:rPr>
              <w:t>。</w:t>
            </w:r>
          </w:p>
        </w:tc>
      </w:tr>
      <w:tr w14:paraId="75103F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95" w:hRule="atLeast"/>
        </w:trPr>
        <w:tc>
          <w:tcPr>
            <w:tcW w:w="1097" w:type="dxa"/>
            <w:vAlign w:val="center"/>
          </w:tcPr>
          <w:p w14:paraId="5B3AB51C">
            <w:pPr>
              <w:jc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10</w:t>
            </w:r>
          </w:p>
        </w:tc>
        <w:tc>
          <w:tcPr>
            <w:tcW w:w="1332" w:type="dxa"/>
            <w:shd w:val="clear" w:color="auto" w:fill="auto"/>
            <w:vAlign w:val="center"/>
          </w:tcPr>
          <w:p w14:paraId="52BF73FD">
            <w:pPr>
              <w:jc w:val="center"/>
              <w:rPr>
                <w:rFonts w:ascii="Calibri" w:hAnsi="Calibri" w:eastAsia="宋体" w:cs="Times New Roman"/>
                <w:color w:val="auto"/>
                <w:kern w:val="2"/>
                <w:sz w:val="20"/>
                <w:szCs w:val="20"/>
                <w:highlight w:val="none"/>
                <w:lang w:val="en-US" w:eastAsia="zh-CN" w:bidi="ar-SA"/>
              </w:rPr>
            </w:pPr>
            <w:r>
              <w:rPr>
                <w:rFonts w:hint="eastAsia" w:ascii="仿宋" w:hAnsi="仿宋" w:eastAsia="仿宋" w:cs="仿宋"/>
                <w:b w:val="0"/>
                <w:bCs w:val="0"/>
                <w:color w:val="auto"/>
                <w:sz w:val="20"/>
                <w:szCs w:val="20"/>
                <w:highlight w:val="none"/>
                <w:lang w:val="en-US" w:eastAsia="zh-CN"/>
              </w:rPr>
              <w:t>★</w:t>
            </w:r>
          </w:p>
        </w:tc>
        <w:tc>
          <w:tcPr>
            <w:tcW w:w="6589" w:type="dxa"/>
          </w:tcPr>
          <w:p w14:paraId="43659D25">
            <w:pPr>
              <w:keepNext w:val="0"/>
              <w:keepLines w:val="0"/>
              <w:suppressLineNumbers w:val="0"/>
              <w:spacing w:before="0" w:beforeAutospacing="0" w:afterAutospacing="0"/>
              <w:ind w:left="0" w:right="0"/>
              <w:jc w:val="left"/>
              <w:rPr>
                <w:rFonts w:hint="eastAsia" w:ascii="仿宋" w:hAnsi="仿宋" w:eastAsia="仿宋" w:cs="仿宋"/>
                <w:b/>
                <w:bCs/>
                <w:color w:val="auto"/>
                <w:sz w:val="20"/>
                <w:szCs w:val="20"/>
                <w:highlight w:val="none"/>
                <w:lang w:val="en-US" w:eastAsia="zh-CN"/>
              </w:rPr>
            </w:pPr>
            <w:r>
              <w:rPr>
                <w:rFonts w:hint="eastAsia" w:ascii="仿宋" w:hAnsi="仿宋" w:eastAsia="仿宋" w:cs="仿宋"/>
                <w:color w:val="auto"/>
                <w:kern w:val="0"/>
                <w:sz w:val="20"/>
                <w:szCs w:val="20"/>
                <w:highlight w:val="none"/>
                <w14:ligatures w14:val="none"/>
              </w:rPr>
              <w:t>6.自由度：≥17个自由度，头部</w:t>
            </w:r>
            <w:r>
              <w:rPr>
                <w:rFonts w:hint="eastAsia" w:ascii="仿宋" w:hAnsi="仿宋" w:eastAsia="仿宋" w:cs="仿宋"/>
                <w:color w:val="auto"/>
                <w:kern w:val="0"/>
                <w:sz w:val="20"/>
                <w:szCs w:val="20"/>
                <w:highlight w:val="none"/>
                <w:lang w:val="en-US" w:eastAsia="zh-CN"/>
                <w14:ligatures w14:val="none"/>
              </w:rPr>
              <w:t>≥</w:t>
            </w:r>
            <w:r>
              <w:rPr>
                <w:rFonts w:hint="eastAsia" w:ascii="仿宋" w:hAnsi="仿宋" w:eastAsia="仿宋" w:cs="仿宋"/>
                <w:color w:val="auto"/>
                <w:kern w:val="0"/>
                <w:sz w:val="20"/>
                <w:szCs w:val="20"/>
                <w:highlight w:val="none"/>
                <w14:ligatures w14:val="none"/>
              </w:rPr>
              <w:t>1个，肩部</w:t>
            </w:r>
            <w:r>
              <w:rPr>
                <w:rFonts w:hint="eastAsia" w:ascii="仿宋" w:hAnsi="仿宋" w:eastAsia="仿宋" w:cs="仿宋"/>
                <w:color w:val="auto"/>
                <w:kern w:val="0"/>
                <w:sz w:val="20"/>
                <w:szCs w:val="20"/>
                <w:highlight w:val="none"/>
                <w:lang w:val="en-US" w:eastAsia="zh-CN"/>
                <w14:ligatures w14:val="none"/>
              </w:rPr>
              <w:t>≥2</w:t>
            </w:r>
            <w:r>
              <w:rPr>
                <w:rFonts w:hint="eastAsia" w:ascii="仿宋" w:hAnsi="仿宋" w:eastAsia="仿宋" w:cs="仿宋"/>
                <w:color w:val="auto"/>
                <w:kern w:val="0"/>
                <w:sz w:val="20"/>
                <w:szCs w:val="20"/>
                <w:highlight w:val="none"/>
                <w14:ligatures w14:val="none"/>
              </w:rPr>
              <w:t>个，</w:t>
            </w:r>
            <w:r>
              <w:rPr>
                <w:rFonts w:hint="eastAsia" w:ascii="仿宋" w:hAnsi="仿宋" w:eastAsia="仿宋" w:cs="仿宋"/>
                <w:color w:val="auto"/>
                <w:kern w:val="0"/>
                <w:sz w:val="20"/>
                <w:szCs w:val="20"/>
                <w:highlight w:val="none"/>
                <w:lang w:val="en-US" w:eastAsia="zh-CN"/>
                <w14:ligatures w14:val="none"/>
              </w:rPr>
              <w:t>单</w:t>
            </w:r>
            <w:r>
              <w:rPr>
                <w:rFonts w:hint="eastAsia" w:ascii="仿宋" w:hAnsi="仿宋" w:eastAsia="仿宋" w:cs="仿宋"/>
                <w:color w:val="auto"/>
                <w:kern w:val="0"/>
                <w:sz w:val="20"/>
                <w:szCs w:val="20"/>
                <w:highlight w:val="none"/>
                <w14:ligatures w14:val="none"/>
              </w:rPr>
              <w:t>手臂</w:t>
            </w:r>
            <w:r>
              <w:rPr>
                <w:rFonts w:hint="eastAsia" w:ascii="仿宋" w:hAnsi="仿宋" w:eastAsia="仿宋" w:cs="仿宋"/>
                <w:color w:val="auto"/>
                <w:kern w:val="0"/>
                <w:sz w:val="20"/>
                <w:szCs w:val="20"/>
                <w:highlight w:val="none"/>
                <w:lang w:val="en-US" w:eastAsia="zh-CN"/>
                <w14:ligatures w14:val="none"/>
              </w:rPr>
              <w:t>≥</w:t>
            </w:r>
            <w:r>
              <w:rPr>
                <w:rFonts w:hint="eastAsia" w:ascii="仿宋" w:hAnsi="仿宋" w:eastAsia="仿宋" w:cs="仿宋"/>
                <w:color w:val="auto"/>
                <w:kern w:val="0"/>
                <w:sz w:val="20"/>
                <w:szCs w:val="20"/>
                <w:highlight w:val="none"/>
                <w14:ligatures w14:val="none"/>
              </w:rPr>
              <w:t>2个，</w:t>
            </w:r>
            <w:r>
              <w:rPr>
                <w:rFonts w:hint="eastAsia" w:ascii="仿宋" w:hAnsi="仿宋" w:eastAsia="仿宋" w:cs="仿宋"/>
                <w:color w:val="auto"/>
                <w:kern w:val="0"/>
                <w:sz w:val="20"/>
                <w:szCs w:val="20"/>
                <w:highlight w:val="none"/>
                <w:lang w:val="en-US" w:eastAsia="zh-CN"/>
                <w14:ligatures w14:val="none"/>
              </w:rPr>
              <w:t>单</w:t>
            </w:r>
            <w:r>
              <w:rPr>
                <w:rFonts w:hint="eastAsia" w:ascii="仿宋" w:hAnsi="仿宋" w:eastAsia="仿宋" w:cs="仿宋"/>
                <w:color w:val="auto"/>
                <w:kern w:val="0"/>
                <w:sz w:val="20"/>
                <w:szCs w:val="20"/>
                <w:highlight w:val="none"/>
                <w14:ligatures w14:val="none"/>
              </w:rPr>
              <w:t>腿部</w:t>
            </w:r>
            <w:r>
              <w:rPr>
                <w:rFonts w:hint="eastAsia" w:ascii="仿宋" w:hAnsi="仿宋" w:eastAsia="仿宋" w:cs="仿宋"/>
                <w:color w:val="auto"/>
                <w:kern w:val="0"/>
                <w:sz w:val="20"/>
                <w:szCs w:val="20"/>
                <w:highlight w:val="none"/>
                <w:lang w:val="en-US" w:eastAsia="zh-CN"/>
                <w14:ligatures w14:val="none"/>
              </w:rPr>
              <w:t>≥</w:t>
            </w:r>
            <w:r>
              <w:rPr>
                <w:rFonts w:hint="eastAsia" w:ascii="仿宋" w:hAnsi="仿宋" w:eastAsia="仿宋" w:cs="仿宋"/>
                <w:color w:val="auto"/>
                <w:kern w:val="0"/>
                <w:sz w:val="20"/>
                <w:szCs w:val="20"/>
                <w:highlight w:val="none"/>
                <w14:ligatures w14:val="none"/>
              </w:rPr>
              <w:t>4个，</w:t>
            </w:r>
            <w:r>
              <w:rPr>
                <w:rFonts w:hint="eastAsia" w:ascii="仿宋" w:hAnsi="仿宋" w:eastAsia="仿宋" w:cs="仿宋"/>
                <w:color w:val="auto"/>
                <w:kern w:val="0"/>
                <w:sz w:val="20"/>
                <w:szCs w:val="20"/>
                <w:highlight w:val="none"/>
                <w:lang w:val="en-US" w:eastAsia="zh-CN"/>
                <w14:ligatures w14:val="none"/>
              </w:rPr>
              <w:t>单</w:t>
            </w:r>
            <w:r>
              <w:rPr>
                <w:rFonts w:hint="eastAsia" w:ascii="仿宋" w:hAnsi="仿宋" w:eastAsia="仿宋" w:cs="仿宋"/>
                <w:color w:val="auto"/>
                <w:kern w:val="0"/>
                <w:sz w:val="20"/>
                <w:szCs w:val="20"/>
                <w:highlight w:val="none"/>
                <w14:ligatures w14:val="none"/>
              </w:rPr>
              <w:t>脚部</w:t>
            </w:r>
            <w:r>
              <w:rPr>
                <w:rFonts w:hint="eastAsia" w:ascii="仿宋" w:hAnsi="仿宋" w:eastAsia="仿宋" w:cs="仿宋"/>
                <w:color w:val="auto"/>
                <w:kern w:val="0"/>
                <w:sz w:val="20"/>
                <w:szCs w:val="20"/>
                <w:highlight w:val="none"/>
                <w:lang w:val="en-US" w:eastAsia="zh-CN"/>
                <w14:ligatures w14:val="none"/>
              </w:rPr>
              <w:t>≥</w:t>
            </w:r>
            <w:r>
              <w:rPr>
                <w:rFonts w:hint="eastAsia" w:ascii="仿宋" w:hAnsi="仿宋" w:eastAsia="仿宋" w:cs="仿宋"/>
                <w:color w:val="auto"/>
                <w:kern w:val="0"/>
                <w:sz w:val="20"/>
                <w:szCs w:val="20"/>
                <w:highlight w:val="none"/>
                <w14:ligatures w14:val="none"/>
              </w:rPr>
              <w:t>1个。</w:t>
            </w:r>
          </w:p>
        </w:tc>
      </w:tr>
      <w:tr w14:paraId="33E86E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41" w:hRule="atLeast"/>
        </w:trPr>
        <w:tc>
          <w:tcPr>
            <w:tcW w:w="1097" w:type="dxa"/>
            <w:vAlign w:val="center"/>
          </w:tcPr>
          <w:p w14:paraId="60455604">
            <w:pPr>
              <w:jc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11</w:t>
            </w:r>
          </w:p>
        </w:tc>
        <w:tc>
          <w:tcPr>
            <w:tcW w:w="1332" w:type="dxa"/>
            <w:shd w:val="clear" w:color="auto" w:fill="auto"/>
            <w:vAlign w:val="center"/>
          </w:tcPr>
          <w:p w14:paraId="4D847C49">
            <w:pPr>
              <w:jc w:val="center"/>
              <w:rPr>
                <w:rFonts w:hint="eastAsia" w:ascii="Calibri" w:hAnsi="Calibri" w:eastAsia="宋体" w:cs="Times New Roman"/>
                <w:color w:val="auto"/>
                <w:sz w:val="20"/>
                <w:szCs w:val="20"/>
                <w:highlight w:val="none"/>
                <w:lang w:val="en-US" w:eastAsia="zh-Hans"/>
              </w:rPr>
            </w:pPr>
            <w:r>
              <w:rPr>
                <w:rFonts w:hint="eastAsia" w:ascii="仿宋_GB2312" w:hAnsi="仿宋_GB2312" w:eastAsia="仿宋_GB2312" w:cs="仿宋_GB2312"/>
                <w:color w:val="auto"/>
                <w:sz w:val="20"/>
                <w:szCs w:val="20"/>
                <w:highlight w:val="none"/>
                <w:lang w:val="en-US" w:eastAsia="zh-Hans"/>
              </w:rPr>
              <w:t>▲</w:t>
            </w:r>
          </w:p>
        </w:tc>
        <w:tc>
          <w:tcPr>
            <w:tcW w:w="6589" w:type="dxa"/>
          </w:tcPr>
          <w:p w14:paraId="1C313111">
            <w:pPr>
              <w:keepNext w:val="0"/>
              <w:keepLines w:val="0"/>
              <w:suppressLineNumbers w:val="0"/>
              <w:spacing w:before="0" w:beforeAutospacing="0" w:afterAutospacing="0"/>
              <w:ind w:left="0" w:right="0"/>
              <w:jc w:val="left"/>
              <w:rPr>
                <w:rFonts w:hint="eastAsia" w:ascii="仿宋" w:hAnsi="仿宋" w:eastAsia="仿宋" w:cs="仿宋"/>
                <w:b/>
                <w:bCs/>
                <w:color w:val="auto"/>
                <w:sz w:val="20"/>
                <w:szCs w:val="20"/>
                <w:highlight w:val="none"/>
                <w:lang w:val="en-US" w:eastAsia="zh-CN"/>
              </w:rPr>
            </w:pPr>
            <w:r>
              <w:rPr>
                <w:rFonts w:hint="eastAsia" w:ascii="仿宋" w:hAnsi="仿宋" w:eastAsia="仿宋" w:cs="仿宋"/>
                <w:color w:val="auto"/>
                <w:kern w:val="0"/>
                <w:sz w:val="20"/>
                <w:szCs w:val="20"/>
                <w:highlight w:val="none"/>
                <w14:ligatures w14:val="none"/>
              </w:rPr>
              <w:t>7.舵机：≥17个强扭矩伺服舵机；运动范围</w:t>
            </w:r>
            <w:r>
              <w:rPr>
                <w:rFonts w:hint="eastAsia" w:ascii="仿宋" w:hAnsi="仿宋" w:eastAsia="仿宋" w:cs="仿宋"/>
                <w:color w:val="auto"/>
                <w:kern w:val="0"/>
                <w:sz w:val="20"/>
                <w:szCs w:val="20"/>
                <w:highlight w:val="none"/>
                <w:lang w:val="en-US" w:eastAsia="zh-CN"/>
                <w14:ligatures w14:val="none"/>
              </w:rPr>
              <w:t>≥</w:t>
            </w:r>
            <w:r>
              <w:rPr>
                <w:rFonts w:hint="eastAsia" w:ascii="仿宋" w:hAnsi="仿宋" w:eastAsia="仿宋" w:cs="仿宋"/>
                <w:color w:val="auto"/>
                <w:kern w:val="0"/>
                <w:sz w:val="20"/>
                <w:szCs w:val="20"/>
                <w:highlight w:val="none"/>
                <w14:ligatures w14:val="none"/>
              </w:rPr>
              <w:t>180°；精度</w:t>
            </w:r>
            <w:r>
              <w:rPr>
                <w:rFonts w:hint="eastAsia" w:ascii="仿宋" w:hAnsi="仿宋" w:eastAsia="仿宋" w:cs="仿宋"/>
                <w:color w:val="auto"/>
                <w:kern w:val="0"/>
                <w:sz w:val="20"/>
                <w:szCs w:val="20"/>
                <w:highlight w:val="none"/>
                <w:lang w:val="en-US" w:eastAsia="zh-CN"/>
                <w14:ligatures w14:val="none"/>
              </w:rPr>
              <w:t>≥</w:t>
            </w:r>
            <w:r>
              <w:rPr>
                <w:rFonts w:hint="eastAsia" w:ascii="仿宋" w:hAnsi="仿宋" w:eastAsia="仿宋" w:cs="仿宋"/>
                <w:color w:val="auto"/>
                <w:kern w:val="0"/>
                <w:sz w:val="20"/>
                <w:szCs w:val="20"/>
                <w:highlight w:val="none"/>
                <w14:ligatures w14:val="none"/>
              </w:rPr>
              <w:t>1°；速度</w:t>
            </w:r>
            <w:r>
              <w:rPr>
                <w:rFonts w:hint="eastAsia" w:ascii="仿宋" w:hAnsi="仿宋" w:eastAsia="仿宋" w:cs="仿宋"/>
                <w:color w:val="auto"/>
                <w:kern w:val="0"/>
                <w:sz w:val="20"/>
                <w:szCs w:val="20"/>
                <w:highlight w:val="none"/>
                <w:lang w:val="en-US" w:eastAsia="zh-CN"/>
                <w14:ligatures w14:val="none"/>
              </w:rPr>
              <w:t>≥</w:t>
            </w:r>
            <w:r>
              <w:rPr>
                <w:rFonts w:hint="eastAsia" w:ascii="仿宋" w:hAnsi="仿宋" w:eastAsia="仿宋" w:cs="仿宋"/>
                <w:color w:val="auto"/>
                <w:kern w:val="0"/>
                <w:sz w:val="20"/>
                <w:szCs w:val="20"/>
                <w:highlight w:val="none"/>
                <w14:ligatures w14:val="none"/>
              </w:rPr>
              <w:t>461°/S；4级减速齿轮箱结构，提供官网截图与产品彩页予以佐证。</w:t>
            </w:r>
          </w:p>
        </w:tc>
      </w:tr>
      <w:tr w14:paraId="73A094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440" w:hRule="atLeast"/>
        </w:trPr>
        <w:tc>
          <w:tcPr>
            <w:tcW w:w="1097" w:type="dxa"/>
            <w:vAlign w:val="center"/>
          </w:tcPr>
          <w:p w14:paraId="117FCC36">
            <w:pPr>
              <w:jc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12</w:t>
            </w:r>
          </w:p>
        </w:tc>
        <w:tc>
          <w:tcPr>
            <w:tcW w:w="1332" w:type="dxa"/>
            <w:vAlign w:val="center"/>
          </w:tcPr>
          <w:p w14:paraId="1D5E0955">
            <w:pPr>
              <w:jc w:val="center"/>
              <w:rPr>
                <w:rFonts w:ascii="仿宋_GB2312" w:hAnsi="仿宋_GB2312" w:eastAsia="仿宋_GB2312" w:cs="仿宋_GB2312"/>
                <w:color w:val="auto"/>
                <w:sz w:val="20"/>
                <w:szCs w:val="20"/>
                <w:highlight w:val="none"/>
              </w:rPr>
            </w:pPr>
            <w:r>
              <w:rPr>
                <w:rFonts w:ascii="仿宋_GB2312" w:hAnsi="仿宋_GB2312" w:eastAsia="仿宋_GB2312" w:cs="仿宋_GB2312"/>
                <w:color w:val="auto"/>
                <w:sz w:val="20"/>
                <w:szCs w:val="20"/>
                <w:highlight w:val="none"/>
              </w:rPr>
              <w:t>▲</w:t>
            </w:r>
          </w:p>
        </w:tc>
        <w:tc>
          <w:tcPr>
            <w:tcW w:w="6589" w:type="dxa"/>
          </w:tcPr>
          <w:p w14:paraId="79E6EFB1">
            <w:pPr>
              <w:keepNext w:val="0"/>
              <w:keepLines w:val="0"/>
              <w:widowControl/>
              <w:suppressLineNumbers w:val="0"/>
              <w:spacing w:before="0" w:beforeAutospacing="0" w:after="0" w:afterAutospacing="0" w:line="240" w:lineRule="auto"/>
              <w:ind w:left="0" w:right="0"/>
              <w:rPr>
                <w:rFonts w:hint="eastAsia" w:ascii="仿宋" w:hAnsi="仿宋" w:eastAsia="仿宋" w:cs="仿宋"/>
                <w:color w:val="auto"/>
                <w:kern w:val="0"/>
                <w:sz w:val="20"/>
                <w:szCs w:val="20"/>
                <w:highlight w:val="none"/>
                <w:lang w:val="en-US" w:eastAsia="zh-CN"/>
                <w14:ligatures w14:val="none"/>
              </w:rPr>
            </w:pPr>
            <w:r>
              <w:rPr>
                <w:rFonts w:hint="eastAsia" w:ascii="仿宋" w:hAnsi="仿宋" w:eastAsia="仿宋" w:cs="仿宋"/>
                <w:color w:val="auto"/>
                <w:kern w:val="0"/>
                <w:sz w:val="20"/>
                <w:szCs w:val="20"/>
                <w:highlight w:val="none"/>
                <w:lang w:val="en-US" w:eastAsia="zh-CN"/>
                <w14:ligatures w14:val="none"/>
              </w:rPr>
              <w:t>12.外置传感器：机器人功能拓展，≥10个外置传感器相互配合完成不同的场景任务，2磁铁，3PIN磁吸头，包含但不限于以下输入模块：</w:t>
            </w:r>
          </w:p>
          <w:p w14:paraId="7DB9FB59">
            <w:pPr>
              <w:keepNext w:val="0"/>
              <w:keepLines w:val="0"/>
              <w:widowControl/>
              <w:suppressLineNumbers w:val="0"/>
              <w:spacing w:before="0" w:beforeAutospacing="0" w:after="0" w:afterAutospacing="0" w:line="240" w:lineRule="auto"/>
              <w:ind w:left="0" w:right="0"/>
              <w:rPr>
                <w:rFonts w:hint="eastAsia" w:ascii="仿宋" w:hAnsi="仿宋" w:eastAsia="仿宋" w:cs="仿宋"/>
                <w:color w:val="auto"/>
                <w:kern w:val="0"/>
                <w:sz w:val="20"/>
                <w:szCs w:val="20"/>
                <w:highlight w:val="none"/>
                <w:lang w:val="en-US" w:eastAsia="zh-CN"/>
                <w14:ligatures w14:val="none"/>
              </w:rPr>
            </w:pPr>
            <w:r>
              <w:rPr>
                <w:rFonts w:hint="eastAsia" w:ascii="仿宋" w:hAnsi="仿宋" w:eastAsia="仿宋" w:cs="仿宋"/>
                <w:color w:val="auto"/>
                <w:kern w:val="0"/>
                <w:sz w:val="20"/>
                <w:szCs w:val="20"/>
                <w:highlight w:val="none"/>
                <w:lang w:val="en-US" w:eastAsia="zh-CN"/>
                <w14:ligatures w14:val="none"/>
              </w:rPr>
              <w:t>（1）火焰传感器：识别火焰；</w:t>
            </w:r>
          </w:p>
          <w:p w14:paraId="209AD4A5">
            <w:pPr>
              <w:keepNext w:val="0"/>
              <w:keepLines w:val="0"/>
              <w:widowControl/>
              <w:suppressLineNumbers w:val="0"/>
              <w:spacing w:before="0" w:beforeAutospacing="0" w:after="0" w:afterAutospacing="0" w:line="240" w:lineRule="auto"/>
              <w:ind w:left="0" w:right="0"/>
              <w:rPr>
                <w:rFonts w:hint="eastAsia" w:ascii="仿宋" w:hAnsi="仿宋" w:eastAsia="仿宋" w:cs="仿宋"/>
                <w:color w:val="auto"/>
                <w:kern w:val="0"/>
                <w:sz w:val="20"/>
                <w:szCs w:val="20"/>
                <w:highlight w:val="none"/>
                <w:lang w:val="en-US" w:eastAsia="zh-CN"/>
                <w14:ligatures w14:val="none"/>
              </w:rPr>
            </w:pPr>
            <w:r>
              <w:rPr>
                <w:rFonts w:hint="eastAsia" w:ascii="仿宋" w:hAnsi="仿宋" w:eastAsia="仿宋" w:cs="仿宋"/>
                <w:color w:val="auto"/>
                <w:kern w:val="0"/>
                <w:sz w:val="20"/>
                <w:szCs w:val="20"/>
                <w:highlight w:val="none"/>
                <w:lang w:val="en-US" w:eastAsia="zh-CN"/>
                <w14:ligatures w14:val="none"/>
              </w:rPr>
              <w:t>（2）光敏传感器：识别环境光源强度；</w:t>
            </w:r>
          </w:p>
          <w:p w14:paraId="276DC683">
            <w:pPr>
              <w:keepNext w:val="0"/>
              <w:keepLines w:val="0"/>
              <w:widowControl/>
              <w:suppressLineNumbers w:val="0"/>
              <w:spacing w:before="0" w:beforeAutospacing="0" w:after="0" w:afterAutospacing="0" w:line="240" w:lineRule="auto"/>
              <w:ind w:left="0" w:right="0"/>
              <w:rPr>
                <w:rFonts w:hint="eastAsia" w:ascii="仿宋" w:hAnsi="仿宋" w:eastAsia="仿宋" w:cs="仿宋"/>
                <w:color w:val="auto"/>
                <w:kern w:val="0"/>
                <w:sz w:val="20"/>
                <w:szCs w:val="20"/>
                <w:highlight w:val="none"/>
                <w:lang w:val="en-US" w:eastAsia="zh-CN"/>
                <w14:ligatures w14:val="none"/>
              </w:rPr>
            </w:pPr>
            <w:r>
              <w:rPr>
                <w:rFonts w:hint="eastAsia" w:ascii="仿宋" w:hAnsi="仿宋" w:eastAsia="仿宋" w:cs="仿宋"/>
                <w:color w:val="auto"/>
                <w:kern w:val="0"/>
                <w:sz w:val="20"/>
                <w:szCs w:val="20"/>
                <w:highlight w:val="none"/>
                <w:lang w:val="en-US" w:eastAsia="zh-CN"/>
                <w14:ligatures w14:val="none"/>
              </w:rPr>
              <w:t>（3）温度传感器：探测环境温度；</w:t>
            </w:r>
          </w:p>
          <w:p w14:paraId="76CE2782">
            <w:pPr>
              <w:keepNext w:val="0"/>
              <w:keepLines w:val="0"/>
              <w:widowControl/>
              <w:suppressLineNumbers w:val="0"/>
              <w:spacing w:before="0" w:beforeAutospacing="0" w:after="0" w:afterAutospacing="0" w:line="240" w:lineRule="auto"/>
              <w:ind w:left="0" w:right="0"/>
              <w:rPr>
                <w:rFonts w:hint="eastAsia" w:ascii="仿宋" w:hAnsi="仿宋" w:eastAsia="仿宋" w:cs="仿宋"/>
                <w:color w:val="auto"/>
                <w:kern w:val="0"/>
                <w:sz w:val="20"/>
                <w:szCs w:val="20"/>
                <w:highlight w:val="none"/>
                <w:lang w:val="en-US" w:eastAsia="zh-CN"/>
                <w14:ligatures w14:val="none"/>
              </w:rPr>
            </w:pPr>
            <w:r>
              <w:rPr>
                <w:rFonts w:hint="eastAsia" w:ascii="仿宋" w:hAnsi="仿宋" w:eastAsia="仿宋" w:cs="仿宋"/>
                <w:color w:val="auto"/>
                <w:kern w:val="0"/>
                <w:sz w:val="20"/>
                <w:szCs w:val="20"/>
                <w:highlight w:val="none"/>
                <w:lang w:val="en-US" w:eastAsia="zh-CN"/>
                <w14:ligatures w14:val="none"/>
              </w:rPr>
              <w:t>（4）湿度传感器：探测环境湿度；</w:t>
            </w:r>
          </w:p>
          <w:p w14:paraId="19116A88">
            <w:pPr>
              <w:keepNext w:val="0"/>
              <w:keepLines w:val="0"/>
              <w:widowControl/>
              <w:suppressLineNumbers w:val="0"/>
              <w:spacing w:before="0" w:beforeAutospacing="0" w:after="0" w:afterAutospacing="0" w:line="240" w:lineRule="auto"/>
              <w:ind w:left="0" w:right="0"/>
              <w:rPr>
                <w:rFonts w:hint="eastAsia" w:ascii="仿宋" w:hAnsi="仿宋" w:eastAsia="仿宋" w:cs="仿宋"/>
                <w:color w:val="auto"/>
                <w:kern w:val="0"/>
                <w:sz w:val="20"/>
                <w:szCs w:val="20"/>
                <w:highlight w:val="none"/>
                <w:lang w:val="en-US" w:eastAsia="zh-CN"/>
                <w14:ligatures w14:val="none"/>
              </w:rPr>
            </w:pPr>
            <w:r>
              <w:rPr>
                <w:rFonts w:hint="eastAsia" w:ascii="仿宋" w:hAnsi="仿宋" w:eastAsia="仿宋" w:cs="仿宋"/>
                <w:color w:val="auto"/>
                <w:kern w:val="0"/>
                <w:sz w:val="20"/>
                <w:szCs w:val="20"/>
                <w:highlight w:val="none"/>
                <w:lang w:val="en-US" w:eastAsia="zh-CN"/>
                <w14:ligatures w14:val="none"/>
              </w:rPr>
              <w:t>（5）气敏传感器：检测特定气体；</w:t>
            </w:r>
          </w:p>
          <w:p w14:paraId="76102CBF">
            <w:pPr>
              <w:keepNext w:val="0"/>
              <w:keepLines w:val="0"/>
              <w:widowControl/>
              <w:suppressLineNumbers w:val="0"/>
              <w:spacing w:before="0" w:beforeAutospacing="0" w:after="0" w:afterAutospacing="0" w:line="240" w:lineRule="auto"/>
              <w:ind w:left="0" w:right="0"/>
              <w:rPr>
                <w:rFonts w:hint="eastAsia" w:ascii="仿宋" w:hAnsi="仿宋" w:eastAsia="仿宋" w:cs="仿宋"/>
                <w:color w:val="auto"/>
                <w:kern w:val="0"/>
                <w:sz w:val="20"/>
                <w:szCs w:val="20"/>
                <w:highlight w:val="none"/>
                <w:lang w:val="en-US" w:eastAsia="zh-CN"/>
                <w14:ligatures w14:val="none"/>
              </w:rPr>
            </w:pPr>
            <w:r>
              <w:rPr>
                <w:rFonts w:hint="eastAsia" w:ascii="仿宋" w:hAnsi="仿宋" w:eastAsia="仿宋" w:cs="仿宋"/>
                <w:color w:val="auto"/>
                <w:kern w:val="0"/>
                <w:sz w:val="20"/>
                <w:szCs w:val="20"/>
                <w:highlight w:val="none"/>
                <w:lang w:val="en-US" w:eastAsia="zh-CN"/>
                <w14:ligatures w14:val="none"/>
              </w:rPr>
              <w:t>（6）触摸传感器：感应人体触摸；</w:t>
            </w:r>
          </w:p>
          <w:p w14:paraId="5B238F1A">
            <w:pPr>
              <w:keepNext w:val="0"/>
              <w:keepLines w:val="0"/>
              <w:widowControl/>
              <w:suppressLineNumbers w:val="0"/>
              <w:spacing w:before="0" w:beforeAutospacing="0" w:after="0" w:afterAutospacing="0" w:line="240" w:lineRule="auto"/>
              <w:ind w:left="0" w:right="0"/>
              <w:rPr>
                <w:rFonts w:hint="eastAsia" w:ascii="仿宋" w:hAnsi="仿宋" w:eastAsia="仿宋" w:cs="仿宋"/>
                <w:color w:val="auto"/>
                <w:kern w:val="0"/>
                <w:sz w:val="20"/>
                <w:szCs w:val="20"/>
                <w:highlight w:val="none"/>
                <w:lang w:val="en-US" w:eastAsia="zh-CN"/>
                <w14:ligatures w14:val="none"/>
              </w:rPr>
            </w:pPr>
            <w:r>
              <w:rPr>
                <w:rFonts w:hint="eastAsia" w:ascii="仿宋" w:hAnsi="仿宋" w:eastAsia="仿宋" w:cs="仿宋"/>
                <w:color w:val="auto"/>
                <w:kern w:val="0"/>
                <w:sz w:val="20"/>
                <w:szCs w:val="20"/>
                <w:highlight w:val="none"/>
                <w:lang w:val="en-US" w:eastAsia="zh-CN"/>
                <w14:ligatures w14:val="none"/>
              </w:rPr>
              <w:t xml:space="preserve">（7）人体红外传感器：感应人的远近； </w:t>
            </w:r>
          </w:p>
          <w:p w14:paraId="2A1B0C10">
            <w:pPr>
              <w:keepNext w:val="0"/>
              <w:keepLines w:val="0"/>
              <w:widowControl/>
              <w:suppressLineNumbers w:val="0"/>
              <w:spacing w:before="0" w:beforeAutospacing="0" w:after="0" w:afterAutospacing="0" w:line="240" w:lineRule="auto"/>
              <w:ind w:left="0" w:right="0"/>
              <w:rPr>
                <w:rFonts w:hint="eastAsia" w:ascii="仿宋" w:hAnsi="仿宋" w:eastAsia="仿宋" w:cs="仿宋"/>
                <w:color w:val="auto"/>
                <w:kern w:val="0"/>
                <w:sz w:val="20"/>
                <w:szCs w:val="20"/>
                <w:highlight w:val="none"/>
                <w:lang w:val="en-US" w:eastAsia="zh-CN"/>
                <w14:ligatures w14:val="none"/>
              </w:rPr>
            </w:pPr>
            <w:r>
              <w:rPr>
                <w:rFonts w:hint="eastAsia" w:ascii="仿宋" w:hAnsi="仿宋" w:eastAsia="仿宋" w:cs="仿宋"/>
                <w:color w:val="auto"/>
                <w:kern w:val="0"/>
                <w:sz w:val="20"/>
                <w:szCs w:val="20"/>
                <w:highlight w:val="none"/>
                <w:lang w:val="en-US" w:eastAsia="zh-CN"/>
                <w14:ligatures w14:val="none"/>
              </w:rPr>
              <w:t>（8）碰撞开关：感应碰撞。</w:t>
            </w:r>
          </w:p>
          <w:p w14:paraId="18232AED">
            <w:pPr>
              <w:keepNext w:val="0"/>
              <w:keepLines w:val="0"/>
              <w:widowControl/>
              <w:suppressLineNumbers w:val="0"/>
              <w:spacing w:before="0" w:beforeAutospacing="0" w:after="0" w:afterAutospacing="0" w:line="240" w:lineRule="auto"/>
              <w:ind w:left="0" w:right="0"/>
              <w:rPr>
                <w:rFonts w:hint="eastAsia" w:ascii="仿宋" w:hAnsi="仿宋" w:eastAsia="仿宋" w:cs="仿宋"/>
                <w:color w:val="auto"/>
                <w:kern w:val="0"/>
                <w:sz w:val="20"/>
                <w:szCs w:val="20"/>
                <w:highlight w:val="none"/>
                <w:lang w:val="en-US" w:eastAsia="zh-CN"/>
                <w14:ligatures w14:val="none"/>
              </w:rPr>
            </w:pPr>
            <w:r>
              <w:rPr>
                <w:rFonts w:hint="eastAsia" w:ascii="仿宋" w:hAnsi="仿宋" w:eastAsia="仿宋" w:cs="仿宋"/>
                <w:color w:val="auto"/>
                <w:kern w:val="0"/>
                <w:sz w:val="20"/>
                <w:szCs w:val="20"/>
                <w:highlight w:val="none"/>
                <w:lang w:val="en-US" w:eastAsia="zh-CN"/>
                <w14:ligatures w14:val="none"/>
              </w:rPr>
              <w:t>（9）LED灯：可实现常亮、闪烁等多种编程；</w:t>
            </w:r>
          </w:p>
          <w:p w14:paraId="593078B3">
            <w:pPr>
              <w:keepNext w:val="0"/>
              <w:keepLines w:val="0"/>
              <w:widowControl/>
              <w:suppressLineNumbers w:val="0"/>
              <w:spacing w:before="0" w:beforeAutospacing="0" w:after="0" w:afterAutospacing="0" w:line="240" w:lineRule="auto"/>
              <w:ind w:left="0" w:right="0"/>
              <w:rPr>
                <w:rFonts w:hint="eastAsia" w:ascii="仿宋" w:hAnsi="仿宋" w:eastAsia="仿宋" w:cs="仿宋"/>
                <w:color w:val="auto"/>
                <w:kern w:val="0"/>
                <w:sz w:val="20"/>
                <w:szCs w:val="20"/>
                <w:highlight w:val="none"/>
                <w:lang w:val="en-US" w:eastAsia="zh-CN"/>
                <w14:ligatures w14:val="none"/>
              </w:rPr>
            </w:pPr>
            <w:r>
              <w:rPr>
                <w:rFonts w:hint="eastAsia" w:ascii="仿宋" w:hAnsi="仿宋" w:eastAsia="仿宋" w:cs="仿宋"/>
                <w:color w:val="auto"/>
                <w:kern w:val="0"/>
                <w:sz w:val="20"/>
                <w:szCs w:val="20"/>
                <w:highlight w:val="none"/>
                <w:lang w:val="en-US" w:eastAsia="zh-CN"/>
                <w14:ligatures w14:val="none"/>
              </w:rPr>
              <w:t>（10）风扇：可实现编程控制转动。</w:t>
            </w:r>
          </w:p>
          <w:p w14:paraId="4106A02B">
            <w:pPr>
              <w:keepNext w:val="0"/>
              <w:keepLines w:val="0"/>
              <w:suppressLineNumbers w:val="0"/>
              <w:spacing w:before="0" w:beforeAutospacing="0" w:afterAutospacing="0"/>
              <w:ind w:left="0" w:right="0"/>
              <w:jc w:val="left"/>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kern w:val="0"/>
                <w:sz w:val="20"/>
                <w:szCs w:val="20"/>
                <w:highlight w:val="none"/>
                <w:lang w:val="en-US" w:eastAsia="zh-CN"/>
                <w14:ligatures w14:val="none"/>
              </w:rPr>
              <w:t>提供功能演示视频予以佐证</w:t>
            </w:r>
            <w:r>
              <w:rPr>
                <w:rFonts w:hint="eastAsia" w:ascii="仿宋" w:hAnsi="仿宋" w:eastAsia="仿宋" w:cs="仿宋"/>
                <w:color w:val="auto"/>
                <w:kern w:val="0"/>
                <w:sz w:val="20"/>
                <w:szCs w:val="20"/>
                <w:highlight w:val="none"/>
                <w:lang w:val="en-US" w:eastAsia="zh-CN"/>
                <w14:ligatures w14:val="none"/>
              </w:rPr>
              <w:t>。</w:t>
            </w:r>
          </w:p>
        </w:tc>
      </w:tr>
      <w:tr w14:paraId="420298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86" w:hRule="atLeast"/>
        </w:trPr>
        <w:tc>
          <w:tcPr>
            <w:tcW w:w="1097" w:type="dxa"/>
            <w:vAlign w:val="center"/>
          </w:tcPr>
          <w:p w14:paraId="63A5EF00">
            <w:pPr>
              <w:jc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13</w:t>
            </w:r>
          </w:p>
        </w:tc>
        <w:tc>
          <w:tcPr>
            <w:tcW w:w="1332" w:type="dxa"/>
            <w:vAlign w:val="center"/>
          </w:tcPr>
          <w:p w14:paraId="705A0481">
            <w:pPr>
              <w:jc w:val="center"/>
              <w:rPr>
                <w:rFonts w:ascii="仿宋_GB2312" w:hAnsi="仿宋_GB2312" w:eastAsia="仿宋_GB2312" w:cs="仿宋_GB2312"/>
                <w:color w:val="auto"/>
                <w:sz w:val="20"/>
                <w:szCs w:val="20"/>
                <w:highlight w:val="none"/>
              </w:rPr>
            </w:pPr>
            <w:r>
              <w:rPr>
                <w:rFonts w:ascii="仿宋_GB2312" w:hAnsi="仿宋_GB2312" w:eastAsia="仿宋_GB2312" w:cs="仿宋_GB2312"/>
                <w:color w:val="auto"/>
                <w:sz w:val="20"/>
                <w:szCs w:val="20"/>
                <w:highlight w:val="none"/>
              </w:rPr>
              <w:t>▲</w:t>
            </w:r>
          </w:p>
        </w:tc>
        <w:tc>
          <w:tcPr>
            <w:tcW w:w="6589" w:type="dxa"/>
          </w:tcPr>
          <w:p w14:paraId="2B91880C">
            <w:pPr>
              <w:keepNext w:val="0"/>
              <w:keepLines w:val="0"/>
              <w:suppressLineNumbers w:val="0"/>
              <w:spacing w:before="0" w:beforeAutospacing="0" w:afterAutospacing="0"/>
              <w:ind w:left="0" w:right="0"/>
              <w:jc w:val="left"/>
              <w:rPr>
                <w:rFonts w:hint="eastAsia" w:ascii="仿宋" w:hAnsi="仿宋" w:eastAsia="仿宋" w:cs="仿宋"/>
                <w:b/>
                <w:bCs/>
                <w:color w:val="auto"/>
                <w:kern w:val="0"/>
                <w:sz w:val="20"/>
                <w:szCs w:val="20"/>
                <w:highlight w:val="none"/>
                <w:lang w:val="en-US" w:eastAsia="zh-CN"/>
                <w14:ligatures w14:val="none"/>
              </w:rPr>
            </w:pPr>
            <w:r>
              <w:rPr>
                <w:rFonts w:hint="eastAsia" w:ascii="仿宋" w:hAnsi="仿宋" w:eastAsia="仿宋" w:cs="仿宋"/>
                <w:color w:val="auto"/>
                <w:kern w:val="0"/>
                <w:sz w:val="20"/>
                <w:szCs w:val="20"/>
                <w:highlight w:val="none"/>
                <w:lang w:val="en-US" w:eastAsia="zh-CN"/>
                <w14:ligatures w14:val="none"/>
              </w:rPr>
              <w:t>2、内置案例包含人形机器人双机智能协作型自主分类与搬运场景；内置物体资产数＞100个；支持与场景可以交互的强化学习算法；支持搭载通用模型进行数字仿生人交互。</w:t>
            </w:r>
            <w:r>
              <w:rPr>
                <w:rFonts w:hint="eastAsia" w:ascii="仿宋" w:hAnsi="仿宋" w:eastAsia="仿宋" w:cs="仿宋"/>
                <w:b/>
                <w:bCs/>
                <w:color w:val="auto"/>
                <w:kern w:val="0"/>
                <w:sz w:val="20"/>
                <w:szCs w:val="20"/>
                <w:highlight w:val="none"/>
                <w:lang w:val="en-US" w:eastAsia="zh-CN"/>
                <w14:ligatures w14:val="none"/>
              </w:rPr>
              <w:t>提供功能演示视频予以佐证。</w:t>
            </w:r>
          </w:p>
        </w:tc>
      </w:tr>
      <w:tr w14:paraId="1B5D8F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41" w:hRule="atLeast"/>
        </w:trPr>
        <w:tc>
          <w:tcPr>
            <w:tcW w:w="1097" w:type="dxa"/>
            <w:vAlign w:val="center"/>
          </w:tcPr>
          <w:p w14:paraId="20B4D322">
            <w:pPr>
              <w:jc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14</w:t>
            </w:r>
          </w:p>
        </w:tc>
        <w:tc>
          <w:tcPr>
            <w:tcW w:w="1332" w:type="dxa"/>
            <w:vAlign w:val="center"/>
          </w:tcPr>
          <w:p w14:paraId="034C905A">
            <w:pPr>
              <w:jc w:val="center"/>
              <w:rPr>
                <w:rFonts w:ascii="仿宋_GB2312" w:hAnsi="仿宋_GB2312" w:eastAsia="仿宋_GB2312" w:cs="仿宋_GB2312"/>
                <w:color w:val="auto"/>
                <w:sz w:val="20"/>
                <w:szCs w:val="20"/>
                <w:highlight w:val="none"/>
              </w:rPr>
            </w:pPr>
            <w:r>
              <w:rPr>
                <w:rFonts w:ascii="仿宋_GB2312" w:hAnsi="仿宋_GB2312" w:eastAsia="仿宋_GB2312" w:cs="仿宋_GB2312"/>
                <w:color w:val="auto"/>
                <w:sz w:val="20"/>
                <w:szCs w:val="20"/>
                <w:highlight w:val="none"/>
              </w:rPr>
              <w:t>▲</w:t>
            </w:r>
          </w:p>
        </w:tc>
        <w:tc>
          <w:tcPr>
            <w:tcW w:w="6589" w:type="dxa"/>
          </w:tcPr>
          <w:p w14:paraId="689E94D5">
            <w:pPr>
              <w:keepNext w:val="0"/>
              <w:keepLines w:val="0"/>
              <w:suppressLineNumbers w:val="0"/>
              <w:spacing w:before="0" w:beforeAutospacing="0" w:afterAutospacing="0"/>
              <w:ind w:left="0" w:right="0"/>
              <w:jc w:val="left"/>
              <w:rPr>
                <w:rFonts w:hint="eastAsia" w:ascii="仿宋" w:hAnsi="仿宋" w:eastAsia="仿宋" w:cs="仿宋"/>
                <w:color w:val="auto"/>
                <w:kern w:val="0"/>
                <w:sz w:val="20"/>
                <w:szCs w:val="20"/>
                <w:highlight w:val="none"/>
                <w:lang w:val="en-US" w:eastAsia="zh-CN"/>
                <w14:ligatures w14:val="none"/>
              </w:rPr>
            </w:pPr>
            <w:r>
              <w:rPr>
                <w:rFonts w:hint="eastAsia" w:ascii="仿宋" w:hAnsi="仿宋" w:eastAsia="仿宋" w:cs="仿宋"/>
                <w:b/>
                <w:bCs/>
                <w:color w:val="auto"/>
                <w:kern w:val="0"/>
                <w:sz w:val="20"/>
                <w:szCs w:val="20"/>
                <w:highlight w:val="none"/>
                <w14:ligatures w14:val="none"/>
              </w:rPr>
              <w:t>3.机器人支持参加</w:t>
            </w:r>
            <w:r>
              <w:rPr>
                <w:rFonts w:hint="eastAsia" w:ascii="仿宋" w:hAnsi="仿宋" w:eastAsia="仿宋" w:cs="仿宋"/>
                <w:b/>
                <w:bCs/>
                <w:color w:val="auto"/>
                <w:kern w:val="0"/>
                <w:sz w:val="20"/>
                <w:szCs w:val="20"/>
                <w:highlight w:val="none"/>
                <w:lang w:val="en-US" w:eastAsia="zh-CN"/>
                <w14:ligatures w14:val="none"/>
              </w:rPr>
              <w:t>教育部公布的白名单</w:t>
            </w:r>
            <w:r>
              <w:rPr>
                <w:rFonts w:hint="eastAsia" w:ascii="仿宋" w:hAnsi="仿宋" w:eastAsia="仿宋" w:cs="仿宋"/>
                <w:b/>
                <w:bCs/>
                <w:color w:val="auto"/>
                <w:kern w:val="0"/>
                <w:sz w:val="20"/>
                <w:szCs w:val="20"/>
                <w:highlight w:val="none"/>
                <w14:ligatures w14:val="none"/>
              </w:rPr>
              <w:t>赛事（</w:t>
            </w:r>
            <w:r>
              <w:rPr>
                <w:rFonts w:hint="eastAsia" w:ascii="仿宋" w:hAnsi="仿宋" w:eastAsia="仿宋" w:cs="仿宋"/>
                <w:b/>
                <w:bCs/>
                <w:color w:val="auto"/>
                <w:kern w:val="0"/>
                <w:sz w:val="20"/>
                <w:szCs w:val="20"/>
                <w:highlight w:val="none"/>
                <w:lang w:val="en-US" w:eastAsia="zh-CN"/>
                <w14:ligatures w14:val="none"/>
              </w:rPr>
              <w:t>如</w:t>
            </w:r>
            <w:r>
              <w:rPr>
                <w:rFonts w:hint="eastAsia" w:ascii="仿宋" w:hAnsi="仿宋" w:eastAsia="仿宋" w:cs="仿宋"/>
                <w:b/>
                <w:bCs/>
                <w:color w:val="auto"/>
                <w:kern w:val="0"/>
                <w:sz w:val="20"/>
                <w:szCs w:val="20"/>
                <w:highlight w:val="none"/>
                <w14:ligatures w14:val="none"/>
              </w:rPr>
              <w:t>中国机器人及人工智能大赛等）</w:t>
            </w:r>
            <w:r>
              <w:rPr>
                <w:rFonts w:hint="eastAsia" w:ascii="仿宋" w:hAnsi="仿宋" w:eastAsia="仿宋" w:cs="仿宋"/>
                <w:color w:val="auto"/>
                <w:kern w:val="0"/>
                <w:sz w:val="20"/>
                <w:szCs w:val="20"/>
                <w:highlight w:val="none"/>
                <w14:ligatures w14:val="none"/>
              </w:rPr>
              <w:t>，需提供支持赛事的证明材料予以佐证。</w:t>
            </w:r>
          </w:p>
        </w:tc>
      </w:tr>
      <w:tr w14:paraId="0767D9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41" w:hRule="atLeast"/>
        </w:trPr>
        <w:tc>
          <w:tcPr>
            <w:tcW w:w="1097" w:type="dxa"/>
            <w:vAlign w:val="center"/>
          </w:tcPr>
          <w:p w14:paraId="69784024">
            <w:pPr>
              <w:jc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15</w:t>
            </w:r>
          </w:p>
        </w:tc>
        <w:tc>
          <w:tcPr>
            <w:tcW w:w="1332" w:type="dxa"/>
            <w:vAlign w:val="center"/>
          </w:tcPr>
          <w:p w14:paraId="129A01FC">
            <w:pPr>
              <w:jc w:val="center"/>
              <w:rPr>
                <w:rFonts w:ascii="仿宋_GB2312" w:hAnsi="仿宋_GB2312" w:eastAsia="仿宋_GB2312" w:cs="仿宋_GB2312"/>
                <w:color w:val="auto"/>
                <w:sz w:val="20"/>
                <w:szCs w:val="20"/>
                <w:highlight w:val="none"/>
              </w:rPr>
            </w:pPr>
            <w:r>
              <w:rPr>
                <w:rFonts w:ascii="仿宋_GB2312" w:hAnsi="仿宋_GB2312" w:eastAsia="仿宋_GB2312" w:cs="仿宋_GB2312"/>
                <w:color w:val="auto"/>
                <w:sz w:val="20"/>
                <w:szCs w:val="20"/>
                <w:highlight w:val="none"/>
              </w:rPr>
              <w:t>▲</w:t>
            </w:r>
          </w:p>
        </w:tc>
        <w:tc>
          <w:tcPr>
            <w:tcW w:w="6589" w:type="dxa"/>
          </w:tcPr>
          <w:p w14:paraId="215567D9">
            <w:pPr>
              <w:keepNext w:val="0"/>
              <w:keepLines w:val="0"/>
              <w:suppressLineNumbers w:val="0"/>
              <w:spacing w:before="0" w:beforeAutospacing="0" w:afterAutospacing="0"/>
              <w:ind w:left="0" w:right="0"/>
              <w:jc w:val="left"/>
              <w:rPr>
                <w:rFonts w:hint="eastAsia" w:ascii="仿宋" w:hAnsi="仿宋" w:eastAsia="仿宋" w:cs="仿宋"/>
                <w:color w:val="auto"/>
                <w:kern w:val="0"/>
                <w:sz w:val="20"/>
                <w:szCs w:val="20"/>
                <w:highlight w:val="none"/>
                <w:lang w:val="en-US" w:eastAsia="zh-CN"/>
                <w14:ligatures w14:val="none"/>
              </w:rPr>
            </w:pPr>
            <w:r>
              <w:rPr>
                <w:rFonts w:hint="eastAsia" w:ascii="仿宋" w:hAnsi="仿宋" w:eastAsia="仿宋" w:cs="仿宋"/>
                <w:color w:val="auto"/>
                <w:kern w:val="0"/>
                <w:sz w:val="20"/>
                <w:szCs w:val="20"/>
                <w:highlight w:val="none"/>
                <w:lang w:val="en-US" w:eastAsia="zh-CN"/>
                <w14:ligatures w14:val="none"/>
              </w:rPr>
              <w:t>4</w:t>
            </w:r>
            <w:r>
              <w:rPr>
                <w:rFonts w:hint="eastAsia" w:ascii="仿宋" w:hAnsi="仿宋" w:eastAsia="仿宋" w:cs="仿宋"/>
                <w:color w:val="auto"/>
                <w:kern w:val="0"/>
                <w:sz w:val="20"/>
                <w:szCs w:val="20"/>
                <w:highlight w:val="none"/>
                <w14:ligatures w14:val="none"/>
              </w:rPr>
              <w:t>.配套教学资料，需提供电子版机器人基础教程，提供</w:t>
            </w:r>
            <w:r>
              <w:rPr>
                <w:rFonts w:hint="eastAsia" w:ascii="仿宋" w:hAnsi="仿宋" w:eastAsia="仿宋" w:cs="仿宋"/>
                <w:color w:val="auto"/>
                <w:kern w:val="0"/>
                <w:sz w:val="20"/>
                <w:szCs w:val="20"/>
                <w:highlight w:val="none"/>
                <w:lang w:val="en-US" w:eastAsia="zh-CN"/>
                <w14:ligatures w14:val="none"/>
              </w:rPr>
              <w:t>产品的</w:t>
            </w:r>
            <w:r>
              <w:rPr>
                <w:rFonts w:hint="eastAsia" w:ascii="仿宋" w:hAnsi="仿宋" w:eastAsia="仿宋" w:cs="仿宋"/>
                <w:color w:val="auto"/>
                <w:kern w:val="0"/>
                <w:sz w:val="20"/>
                <w:szCs w:val="20"/>
                <w:highlight w:val="none"/>
                <w14:ligatures w14:val="none"/>
              </w:rPr>
              <w:t>仿人机器人专业教程作品登记证书扫描件予以佐证。</w:t>
            </w:r>
          </w:p>
        </w:tc>
      </w:tr>
      <w:tr w14:paraId="4677C5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86" w:hRule="atLeast"/>
        </w:trPr>
        <w:tc>
          <w:tcPr>
            <w:tcW w:w="1097" w:type="dxa"/>
            <w:vAlign w:val="center"/>
          </w:tcPr>
          <w:p w14:paraId="00B9519A">
            <w:pPr>
              <w:jc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16</w:t>
            </w:r>
          </w:p>
        </w:tc>
        <w:tc>
          <w:tcPr>
            <w:tcW w:w="1332" w:type="dxa"/>
            <w:vAlign w:val="center"/>
          </w:tcPr>
          <w:p w14:paraId="37126A66">
            <w:pPr>
              <w:jc w:val="center"/>
              <w:rPr>
                <w:rFonts w:ascii="仿宋_GB2312" w:hAnsi="仿宋_GB2312" w:eastAsia="仿宋_GB2312" w:cs="仿宋_GB2312"/>
                <w:color w:val="auto"/>
                <w:sz w:val="20"/>
                <w:szCs w:val="20"/>
                <w:highlight w:val="none"/>
              </w:rPr>
            </w:pPr>
            <w:r>
              <w:rPr>
                <w:rFonts w:ascii="仿宋_GB2312" w:hAnsi="仿宋_GB2312" w:eastAsia="仿宋_GB2312" w:cs="仿宋_GB2312"/>
                <w:color w:val="auto"/>
                <w:sz w:val="20"/>
                <w:szCs w:val="20"/>
                <w:highlight w:val="none"/>
              </w:rPr>
              <w:t>▲</w:t>
            </w:r>
          </w:p>
        </w:tc>
        <w:tc>
          <w:tcPr>
            <w:tcW w:w="6589" w:type="dxa"/>
          </w:tcPr>
          <w:p w14:paraId="6182883C">
            <w:pPr>
              <w:keepNext w:val="0"/>
              <w:keepLines w:val="0"/>
              <w:suppressLineNumbers w:val="0"/>
              <w:spacing w:before="0" w:beforeAutospacing="0" w:afterAutospacing="0"/>
              <w:ind w:left="0" w:right="0"/>
              <w:jc w:val="left"/>
              <w:rPr>
                <w:rFonts w:hint="eastAsia" w:ascii="仿宋" w:hAnsi="仿宋" w:eastAsia="仿宋" w:cs="仿宋"/>
                <w:color w:val="auto"/>
                <w:kern w:val="0"/>
                <w:sz w:val="20"/>
                <w:szCs w:val="20"/>
                <w:highlight w:val="none"/>
                <w:lang w:val="en-US" w:eastAsia="zh-CN"/>
                <w14:ligatures w14:val="none"/>
              </w:rPr>
            </w:pPr>
            <w:r>
              <w:rPr>
                <w:rFonts w:hint="eastAsia" w:ascii="仿宋" w:hAnsi="仿宋" w:eastAsia="仿宋" w:cs="仿宋"/>
                <w:color w:val="auto"/>
                <w:sz w:val="20"/>
                <w:szCs w:val="20"/>
                <w:highlight w:val="none"/>
                <w:lang w:bidi="ar"/>
              </w:rPr>
              <w:t>10.支持通过蓝牙绑定手机，当手机在蓝牙范围内可越过BIOS密码直接免密进入系统，若当获得过许可的手机不在蓝牙范围内时，则必须输入 BIOS密码才能进入系统，提供官网截图予以佐证。</w:t>
            </w:r>
          </w:p>
        </w:tc>
      </w:tr>
      <w:tr w14:paraId="0A815A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231" w:hRule="atLeast"/>
        </w:trPr>
        <w:tc>
          <w:tcPr>
            <w:tcW w:w="1097" w:type="dxa"/>
            <w:vAlign w:val="center"/>
          </w:tcPr>
          <w:p w14:paraId="5517E71B">
            <w:pPr>
              <w:jc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17</w:t>
            </w:r>
          </w:p>
        </w:tc>
        <w:tc>
          <w:tcPr>
            <w:tcW w:w="1332" w:type="dxa"/>
            <w:vAlign w:val="center"/>
          </w:tcPr>
          <w:p w14:paraId="0BFD421C">
            <w:pPr>
              <w:jc w:val="center"/>
              <w:rPr>
                <w:rFonts w:ascii="仿宋_GB2312" w:hAnsi="仿宋_GB2312" w:eastAsia="仿宋_GB2312" w:cs="仿宋_GB2312"/>
                <w:color w:val="auto"/>
                <w:sz w:val="20"/>
                <w:szCs w:val="20"/>
                <w:highlight w:val="none"/>
              </w:rPr>
            </w:pPr>
            <w:r>
              <w:rPr>
                <w:rFonts w:ascii="仿宋_GB2312" w:hAnsi="仿宋_GB2312" w:eastAsia="仿宋_GB2312" w:cs="仿宋_GB2312"/>
                <w:color w:val="auto"/>
                <w:sz w:val="20"/>
                <w:szCs w:val="20"/>
                <w:highlight w:val="none"/>
              </w:rPr>
              <w:t>▲</w:t>
            </w:r>
          </w:p>
        </w:tc>
        <w:tc>
          <w:tcPr>
            <w:tcW w:w="6589" w:type="dxa"/>
          </w:tcPr>
          <w:p w14:paraId="1CC8DD46">
            <w:pPr>
              <w:keepNext w:val="0"/>
              <w:keepLines w:val="0"/>
              <w:suppressLineNumbers w:val="0"/>
              <w:spacing w:before="0" w:beforeAutospacing="0" w:afterAutospacing="0"/>
              <w:ind w:left="0" w:right="0"/>
              <w:jc w:val="left"/>
              <w:rPr>
                <w:rFonts w:hint="eastAsia" w:ascii="仿宋" w:hAnsi="仿宋" w:eastAsia="仿宋" w:cs="仿宋"/>
                <w:color w:val="auto"/>
                <w:sz w:val="20"/>
                <w:szCs w:val="20"/>
                <w:highlight w:val="none"/>
                <w:lang w:bidi="ar"/>
              </w:rPr>
            </w:pPr>
            <w:r>
              <w:rPr>
                <w:rFonts w:hint="eastAsia" w:ascii="仿宋" w:hAnsi="仿宋" w:eastAsia="仿宋" w:cs="仿宋"/>
                <w:color w:val="auto"/>
                <w:sz w:val="20"/>
                <w:szCs w:val="20"/>
                <w:highlight w:val="none"/>
                <w:lang w:bidi="ar"/>
              </w:rPr>
              <w:t>12.产品通过设备可靠性试验恒定失效率假设下的失效率与平均无故障时间的验证试验方案，MTBF平均无故障运行时间M1值不低于1100000h(M0值为2200000h)，提供具有</w:t>
            </w:r>
            <w:r>
              <w:rPr>
                <w:rFonts w:hint="eastAsia" w:ascii="仿宋" w:hAnsi="仿宋" w:eastAsia="仿宋" w:cs="仿宋"/>
                <w:color w:val="auto"/>
                <w:sz w:val="20"/>
                <w:szCs w:val="20"/>
                <w:highlight w:val="none"/>
                <w:lang w:val="en-US" w:eastAsia="zh-CN" w:bidi="ar"/>
              </w:rPr>
              <w:t>第三方机构</w:t>
            </w:r>
            <w:r>
              <w:rPr>
                <w:rFonts w:hint="eastAsia" w:ascii="仿宋" w:hAnsi="仿宋" w:eastAsia="仿宋" w:cs="仿宋"/>
                <w:color w:val="auto"/>
                <w:sz w:val="20"/>
                <w:szCs w:val="20"/>
                <w:highlight w:val="none"/>
                <w:lang w:bidi="ar"/>
              </w:rPr>
              <w:t>检测报告或认证证书扫描件予以佐证。</w:t>
            </w:r>
          </w:p>
        </w:tc>
      </w:tr>
      <w:tr w14:paraId="2DE01B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77" w:hRule="atLeast"/>
        </w:trPr>
        <w:tc>
          <w:tcPr>
            <w:tcW w:w="1097" w:type="dxa"/>
            <w:vAlign w:val="center"/>
          </w:tcPr>
          <w:p w14:paraId="6D6D9961">
            <w:pPr>
              <w:jc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18</w:t>
            </w:r>
          </w:p>
        </w:tc>
        <w:tc>
          <w:tcPr>
            <w:tcW w:w="1332" w:type="dxa"/>
            <w:vAlign w:val="center"/>
          </w:tcPr>
          <w:p w14:paraId="01231D5C">
            <w:pPr>
              <w:jc w:val="center"/>
              <w:rPr>
                <w:rFonts w:ascii="仿宋_GB2312" w:hAnsi="仿宋_GB2312" w:eastAsia="仿宋_GB2312" w:cs="仿宋_GB2312"/>
                <w:color w:val="auto"/>
                <w:sz w:val="20"/>
                <w:szCs w:val="20"/>
                <w:highlight w:val="none"/>
              </w:rPr>
            </w:pPr>
            <w:r>
              <w:rPr>
                <w:rFonts w:ascii="仿宋_GB2312" w:hAnsi="仿宋_GB2312" w:eastAsia="仿宋_GB2312" w:cs="仿宋_GB2312"/>
                <w:color w:val="auto"/>
                <w:sz w:val="20"/>
                <w:szCs w:val="20"/>
                <w:highlight w:val="none"/>
              </w:rPr>
              <w:t>▲</w:t>
            </w:r>
          </w:p>
        </w:tc>
        <w:tc>
          <w:tcPr>
            <w:tcW w:w="6589" w:type="dxa"/>
          </w:tcPr>
          <w:p w14:paraId="121F0CDF">
            <w:pPr>
              <w:keepNext w:val="0"/>
              <w:keepLines w:val="0"/>
              <w:suppressLineNumbers w:val="0"/>
              <w:spacing w:before="0" w:beforeAutospacing="0" w:afterAutospacing="0"/>
              <w:ind w:left="0" w:right="0"/>
              <w:jc w:val="left"/>
              <w:rPr>
                <w:rFonts w:hint="eastAsia" w:ascii="仿宋" w:hAnsi="仿宋" w:eastAsia="仿宋" w:cs="仿宋"/>
                <w:color w:val="auto"/>
                <w:sz w:val="20"/>
                <w:szCs w:val="20"/>
                <w:highlight w:val="none"/>
                <w:lang w:bidi="ar"/>
              </w:rPr>
            </w:pPr>
            <w:r>
              <w:rPr>
                <w:rFonts w:hint="eastAsia" w:ascii="仿宋" w:hAnsi="仿宋" w:eastAsia="仿宋" w:cs="仿宋"/>
                <w:color w:val="auto"/>
                <w:sz w:val="20"/>
                <w:szCs w:val="20"/>
                <w:highlight w:val="none"/>
                <w:lang w:bidi="ar"/>
              </w:rPr>
              <w:t>13.产品通过数据接口性能测试且满足USB数据接口的输出电压范围：4.75-5.25Vdc、USB数据接口的输出电流范围：500mA-1500mA、USB数据接口的无负载能量消耗：≤150mW、USB数据接口的接触电流≤20uA检查结果为通过，提供具有</w:t>
            </w:r>
            <w:r>
              <w:rPr>
                <w:rFonts w:hint="eastAsia" w:ascii="仿宋" w:hAnsi="仿宋" w:eastAsia="仿宋" w:cs="仿宋"/>
                <w:color w:val="auto"/>
                <w:sz w:val="20"/>
                <w:szCs w:val="20"/>
                <w:highlight w:val="none"/>
                <w:lang w:val="en-US" w:eastAsia="zh-CN" w:bidi="ar"/>
              </w:rPr>
              <w:t>第三方机构</w:t>
            </w:r>
            <w:r>
              <w:rPr>
                <w:rFonts w:hint="eastAsia" w:ascii="仿宋" w:hAnsi="仿宋" w:eastAsia="仿宋" w:cs="仿宋"/>
                <w:color w:val="auto"/>
                <w:sz w:val="20"/>
                <w:szCs w:val="20"/>
                <w:highlight w:val="none"/>
                <w:lang w:bidi="ar"/>
              </w:rPr>
              <w:t>的检测报告或认证证书扫描件予以佐证。</w:t>
            </w:r>
          </w:p>
        </w:tc>
      </w:tr>
      <w:tr w14:paraId="24B94A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45" w:hRule="atLeast"/>
        </w:trPr>
        <w:tc>
          <w:tcPr>
            <w:tcW w:w="1097" w:type="dxa"/>
            <w:vAlign w:val="center"/>
          </w:tcPr>
          <w:p w14:paraId="53ED9674">
            <w:pPr>
              <w:jc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19</w:t>
            </w:r>
          </w:p>
        </w:tc>
        <w:tc>
          <w:tcPr>
            <w:tcW w:w="1332" w:type="dxa"/>
            <w:vAlign w:val="center"/>
          </w:tcPr>
          <w:p w14:paraId="6717B374">
            <w:pPr>
              <w:jc w:val="center"/>
              <w:rPr>
                <w:rFonts w:ascii="仿宋_GB2312" w:hAnsi="仿宋_GB2312" w:eastAsia="仿宋_GB2312" w:cs="仿宋_GB2312"/>
                <w:color w:val="auto"/>
                <w:sz w:val="20"/>
                <w:szCs w:val="20"/>
                <w:highlight w:val="none"/>
              </w:rPr>
            </w:pPr>
            <w:r>
              <w:rPr>
                <w:rFonts w:ascii="仿宋_GB2312" w:hAnsi="仿宋_GB2312" w:eastAsia="仿宋_GB2312" w:cs="仿宋_GB2312"/>
                <w:color w:val="auto"/>
                <w:sz w:val="20"/>
                <w:szCs w:val="20"/>
                <w:highlight w:val="none"/>
              </w:rPr>
              <w:t>▲</w:t>
            </w:r>
          </w:p>
        </w:tc>
        <w:tc>
          <w:tcPr>
            <w:tcW w:w="6589" w:type="dxa"/>
          </w:tcPr>
          <w:p w14:paraId="2FDD5A23">
            <w:pPr>
              <w:keepNext w:val="0"/>
              <w:keepLines w:val="0"/>
              <w:suppressLineNumbers w:val="0"/>
              <w:spacing w:before="0" w:beforeAutospacing="0" w:afterAutospacing="0"/>
              <w:ind w:left="0" w:right="0"/>
              <w:jc w:val="left"/>
              <w:rPr>
                <w:rFonts w:hint="eastAsia" w:ascii="仿宋" w:hAnsi="仿宋" w:eastAsia="仿宋" w:cs="仿宋"/>
                <w:color w:val="auto"/>
                <w:sz w:val="20"/>
                <w:szCs w:val="20"/>
                <w:highlight w:val="none"/>
                <w:lang w:bidi="ar"/>
              </w:rPr>
            </w:pPr>
            <w:r>
              <w:rPr>
                <w:rFonts w:hint="eastAsia" w:ascii="仿宋" w:hAnsi="仿宋" w:eastAsia="仿宋" w:cs="仿宋"/>
                <w:color w:val="auto"/>
                <w:sz w:val="20"/>
                <w:szCs w:val="20"/>
                <w:highlight w:val="none"/>
                <w:lang w:bidi="ar"/>
              </w:rPr>
              <w:t>14.具有中文BIOS UEFI图形操作界面,同时可以通过鼠标来进行操作且不低于6种语言模式切换，提供功能演示视频予以佐证</w:t>
            </w:r>
          </w:p>
        </w:tc>
      </w:tr>
    </w:tbl>
    <w:p w14:paraId="26752160">
      <w:pPr>
        <w:ind w:firstLine="480"/>
        <w:jc w:val="left"/>
        <w:rPr>
          <w:rFonts w:hint="eastAsia" w:ascii="Calibri" w:hAnsi="Calibri" w:eastAsia="宋体" w:cs="Times New Roman"/>
          <w:color w:val="auto"/>
          <w:highlight w:val="none"/>
          <w:lang w:val="en-US" w:eastAsia="zh-Hans"/>
        </w:rPr>
      </w:pPr>
      <w:r>
        <w:rPr>
          <w:rFonts w:hint="eastAsia" w:ascii="仿宋_GB2312" w:hAnsi="仿宋_GB2312" w:eastAsia="仿宋_GB2312" w:cs="仿宋_GB2312"/>
          <w:color w:val="auto"/>
          <w:highlight w:val="none"/>
          <w:lang w:val="en-US" w:eastAsia="zh-Hans"/>
        </w:rPr>
        <w:t>1.2商务要求</w:t>
      </w:r>
    </w:p>
    <w:p w14:paraId="55B2D29E">
      <w:pPr>
        <w:jc w:val="left"/>
        <w:rPr>
          <w:rFonts w:hint="eastAsia" w:ascii="Calibri" w:hAnsi="Calibri" w:eastAsia="宋体" w:cs="Times New Roman"/>
          <w:color w:val="auto"/>
          <w:highlight w:val="none"/>
          <w:lang w:val="en-US" w:eastAsia="zh-Hans"/>
        </w:rPr>
      </w:pPr>
      <w:r>
        <w:rPr>
          <w:rFonts w:hint="eastAsia" w:ascii="仿宋_GB2312" w:hAnsi="仿宋_GB2312" w:eastAsia="仿宋_GB2312" w:cs="仿宋_GB2312"/>
          <w:color w:val="auto"/>
          <w:highlight w:val="none"/>
          <w:lang w:val="en-US" w:eastAsia="zh-Hans"/>
        </w:rPr>
        <w:t>采购包1：</w:t>
      </w:r>
    </w:p>
    <w:p w14:paraId="4C3E0405">
      <w:pPr>
        <w:jc w:val="left"/>
        <w:rPr>
          <w:rFonts w:hint="eastAsia" w:ascii="Calibri" w:hAnsi="Calibri" w:eastAsia="宋体" w:cs="Times New Roman"/>
          <w:color w:val="auto"/>
          <w:highlight w:val="none"/>
          <w:lang w:val="en-US" w:eastAsia="zh-Hans"/>
        </w:rPr>
      </w:pPr>
      <w:r>
        <w:rPr>
          <w:rFonts w:hint="eastAsia" w:ascii="仿宋_GB2312" w:hAnsi="仿宋_GB2312" w:eastAsia="仿宋_GB2312" w:cs="仿宋_GB2312"/>
          <w:color w:val="auto"/>
          <w:highlight w:val="none"/>
          <w:lang w:val="en-US" w:eastAsia="zh-Hans"/>
        </w:rPr>
        <w:t>无</w:t>
      </w:r>
    </w:p>
    <w:p w14:paraId="7A6AD724">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仿宋_GB2312" w:hAnsi="仿宋_GB2312" w:eastAsia="仿宋_GB2312" w:cs="仿宋_GB2312"/>
          <w:color w:val="auto"/>
          <w:highlight w:val="none"/>
          <w:lang w:val="en-US" w:eastAsia="zh-Hans"/>
        </w:rPr>
      </w:pPr>
      <w:r>
        <w:rPr>
          <w:rFonts w:hint="eastAsia" w:ascii="仿宋_GB2312" w:hAnsi="仿宋_GB2312" w:eastAsia="仿宋_GB2312" w:cs="仿宋_GB2312"/>
          <w:color w:val="auto"/>
          <w:highlight w:val="none"/>
          <w:lang w:val="en-US" w:eastAsia="zh-Hans"/>
        </w:rPr>
        <w:t>7.工期（供货期限）</w:t>
      </w:r>
    </w:p>
    <w:p w14:paraId="7C2ECF56">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仿宋_GB2312" w:hAnsi="仿宋_GB2312" w:eastAsia="仿宋_GB2312" w:cs="仿宋_GB2312"/>
          <w:color w:val="auto"/>
          <w:highlight w:val="none"/>
          <w:lang w:val="en-US" w:eastAsia="zh-Hans"/>
        </w:rPr>
      </w:pPr>
      <w:r>
        <w:rPr>
          <w:rFonts w:hint="eastAsia" w:ascii="仿宋_GB2312" w:hAnsi="仿宋_GB2312" w:eastAsia="仿宋_GB2312" w:cs="仿宋_GB2312"/>
          <w:color w:val="auto"/>
          <w:highlight w:val="none"/>
          <w:lang w:val="en-US" w:eastAsia="zh-Hans"/>
        </w:rPr>
        <w:t>合同签订后30个工作日内，完成全部货物的交付、安装、调试并达到最终验收标准。</w:t>
      </w:r>
    </w:p>
    <w:p w14:paraId="051B9BFF">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仿宋_GB2312" w:hAnsi="仿宋_GB2312" w:eastAsia="仿宋_GB2312" w:cs="仿宋_GB2312"/>
          <w:color w:val="auto"/>
          <w:highlight w:val="none"/>
          <w:lang w:val="en-US" w:eastAsia="zh-Hans"/>
        </w:rPr>
      </w:pPr>
      <w:r>
        <w:rPr>
          <w:rFonts w:hint="eastAsia" w:ascii="仿宋_GB2312" w:hAnsi="仿宋_GB2312" w:eastAsia="仿宋_GB2312" w:cs="仿宋_GB2312"/>
          <w:color w:val="auto"/>
          <w:highlight w:val="none"/>
          <w:lang w:val="en-US" w:eastAsia="zh-Hans"/>
        </w:rPr>
        <w:t>8.付款方式</w:t>
      </w:r>
    </w:p>
    <w:p w14:paraId="470E38AE">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仿宋_GB2312" w:hAnsi="仿宋_GB2312" w:eastAsia="仿宋_GB2312" w:cs="仿宋_GB2312"/>
          <w:color w:val="auto"/>
          <w:highlight w:val="none"/>
          <w:lang w:val="ru-RU" w:eastAsia="zh-Hans"/>
        </w:rPr>
      </w:pPr>
      <w:r>
        <w:rPr>
          <w:rFonts w:hint="eastAsia" w:ascii="仿宋_GB2312" w:hAnsi="仿宋_GB2312" w:eastAsia="仿宋_GB2312" w:cs="仿宋_GB2312"/>
          <w:color w:val="auto"/>
          <w:highlight w:val="none"/>
          <w:lang w:val="ru-RU" w:eastAsia="zh-Hans"/>
        </w:rPr>
        <w:t>中标人在合同签订前需向采购人转账缴纳履约保证金或提供不少于24个月有效期的履约银行保函（合同总金额的 5%）。项目实施完毕验收合格后，支付 100%合同款。转账缴纳履约保证金的，项目运行满一年，经采购人确认无产品质量问题及售后服务问题，且履行了免费维保义务后，采购人向中标人退还本合同总金额3%的履约保证金（不支付利息）；项目运行满两年，经采购人确认无产品质量问题及售后服务问题，且履行了免费维保义务后，采购人向中标人退还剩余的全部履约保证金（不支付利息）。</w:t>
      </w:r>
    </w:p>
    <w:p w14:paraId="57CADC00">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仿宋_GB2312" w:hAnsi="仿宋_GB2312" w:eastAsia="仿宋_GB2312" w:cs="仿宋_GB2312"/>
          <w:color w:val="auto"/>
          <w:highlight w:val="none"/>
          <w:lang w:val="en-US" w:eastAsia="zh-Hans"/>
        </w:rPr>
      </w:pPr>
      <w:r>
        <w:rPr>
          <w:rFonts w:hint="eastAsia" w:ascii="仿宋_GB2312" w:hAnsi="仿宋_GB2312" w:eastAsia="仿宋_GB2312" w:cs="仿宋_GB2312"/>
          <w:color w:val="auto"/>
          <w:highlight w:val="none"/>
          <w:lang w:val="en-US" w:eastAsia="zh-Hans"/>
        </w:rPr>
        <w:t>9.履约验收要求</w:t>
      </w:r>
    </w:p>
    <w:p w14:paraId="60D3B28A">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仿宋_GB2312" w:hAnsi="仿宋_GB2312" w:eastAsia="仿宋_GB2312" w:cs="仿宋_GB2312"/>
          <w:color w:val="auto"/>
          <w:highlight w:val="none"/>
          <w:lang w:val="en-US" w:eastAsia="zh-Hans"/>
        </w:rPr>
      </w:pPr>
      <w:r>
        <w:rPr>
          <w:rFonts w:hint="eastAsia" w:ascii="仿宋_GB2312" w:hAnsi="仿宋_GB2312" w:eastAsia="仿宋_GB2312" w:cs="仿宋_GB2312"/>
          <w:color w:val="auto"/>
          <w:highlight w:val="none"/>
          <w:lang w:val="en-US" w:eastAsia="zh-Hans"/>
        </w:rPr>
        <w:t xml:space="preserve">采购人组织验收，中标人积极配合。项目建设过程中由采购人全程监督，如发现有违反合同情况可责令中标人及时整改，整改完后方可继续施工。整体项目完成后由采购人提交初验收申请单，采购人按合同要求组织专家及相关部门对项目进行验收。 </w:t>
      </w:r>
    </w:p>
    <w:p w14:paraId="5B2AE7B8">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9.1验收依据</w:t>
      </w:r>
    </w:p>
    <w:p w14:paraId="1421BDF1">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本项目的最终验收，必须以招标文件第五章《采购需求》及中标人投标文件中承诺的技术规格、配置、性能参数及商务要求为唯一标准。</w:t>
      </w:r>
    </w:p>
    <w:p w14:paraId="4BB13450">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9.2验收合格的定义</w:t>
      </w:r>
    </w:p>
    <w:p w14:paraId="159D81D8">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满足以下全部条件，方视为验收合格：</w:t>
      </w:r>
      <w:r>
        <w:rPr>
          <w:rFonts w:hint="eastAsia" w:ascii="宋体" w:hAnsi="宋体" w:eastAsia="宋体" w:cs="宋体"/>
          <w:color w:val="auto"/>
          <w:kern w:val="2"/>
          <w:sz w:val="21"/>
          <w:szCs w:val="21"/>
          <w:highlight w:val="none"/>
          <w:lang w:val="en-US" w:eastAsia="zh-CN" w:bidi="ar-SA"/>
        </w:rPr>
        <w:br w:type="textWrapping"/>
      </w:r>
      <w:r>
        <w:rPr>
          <w:rFonts w:hint="eastAsia" w:ascii="宋体" w:hAnsi="宋体" w:eastAsia="宋体" w:cs="宋体"/>
          <w:color w:val="auto"/>
          <w:kern w:val="2"/>
          <w:sz w:val="21"/>
          <w:szCs w:val="21"/>
          <w:highlight w:val="none"/>
          <w:lang w:val="en-US" w:eastAsia="zh-CN" w:bidi="ar-SA"/>
        </w:rPr>
        <w:t xml:space="preserve">  （1）货物齐备：合同清单内所有产品（含附件、资料）已交付。</w:t>
      </w:r>
      <w:r>
        <w:rPr>
          <w:rFonts w:hint="eastAsia" w:ascii="宋体" w:hAnsi="宋体" w:eastAsia="宋体" w:cs="宋体"/>
          <w:color w:val="auto"/>
          <w:kern w:val="2"/>
          <w:sz w:val="21"/>
          <w:szCs w:val="21"/>
          <w:highlight w:val="none"/>
          <w:lang w:val="en-US" w:eastAsia="zh-CN" w:bidi="ar-SA"/>
        </w:rPr>
        <w:br w:type="textWrapping"/>
      </w:r>
      <w:r>
        <w:rPr>
          <w:rFonts w:hint="eastAsia" w:ascii="宋体" w:hAnsi="宋体" w:eastAsia="宋体" w:cs="宋体"/>
          <w:color w:val="auto"/>
          <w:kern w:val="2"/>
          <w:sz w:val="21"/>
          <w:szCs w:val="21"/>
          <w:highlight w:val="none"/>
          <w:lang w:val="en-US" w:eastAsia="zh-CN" w:bidi="ar-SA"/>
        </w:rPr>
        <w:t xml:space="preserve">  （2）安装就绪：所有设备安装调试完毕，可正常联动运行。</w:t>
      </w:r>
      <w:r>
        <w:rPr>
          <w:rFonts w:hint="eastAsia" w:ascii="宋体" w:hAnsi="宋体" w:eastAsia="宋体" w:cs="宋体"/>
          <w:color w:val="auto"/>
          <w:kern w:val="2"/>
          <w:sz w:val="21"/>
          <w:szCs w:val="21"/>
          <w:highlight w:val="none"/>
          <w:lang w:val="en-US" w:eastAsia="zh-CN" w:bidi="ar-SA"/>
        </w:rPr>
        <w:br w:type="textWrapping"/>
      </w:r>
      <w:r>
        <w:rPr>
          <w:rFonts w:hint="eastAsia" w:ascii="宋体" w:hAnsi="宋体" w:eastAsia="宋体" w:cs="宋体"/>
          <w:color w:val="auto"/>
          <w:kern w:val="2"/>
          <w:sz w:val="21"/>
          <w:szCs w:val="21"/>
          <w:highlight w:val="none"/>
          <w:lang w:val="en-US" w:eastAsia="zh-CN" w:bidi="ar-SA"/>
        </w:rPr>
        <w:t xml:space="preserve">  （3）全部响应：所提供的货物与服务，经测试验证，完全满足招标文件及投标文件中约定的全部技术要求与商务要求，无任何负偏离。</w:t>
      </w:r>
      <w:r>
        <w:rPr>
          <w:rFonts w:hint="eastAsia" w:ascii="宋体" w:hAnsi="宋体" w:eastAsia="宋体" w:cs="宋体"/>
          <w:color w:val="auto"/>
          <w:kern w:val="2"/>
          <w:sz w:val="21"/>
          <w:szCs w:val="21"/>
          <w:highlight w:val="none"/>
          <w:lang w:val="en-US" w:eastAsia="zh-CN" w:bidi="ar-SA"/>
        </w:rPr>
        <w:br w:type="textWrapping"/>
      </w:r>
      <w:r>
        <w:rPr>
          <w:rFonts w:hint="eastAsia" w:ascii="宋体" w:hAnsi="宋体" w:eastAsia="宋体" w:cs="宋体"/>
          <w:color w:val="auto"/>
          <w:kern w:val="2"/>
          <w:sz w:val="21"/>
          <w:szCs w:val="21"/>
          <w:highlight w:val="none"/>
          <w:lang w:val="en-US" w:eastAsia="zh-CN" w:bidi="ar-SA"/>
        </w:rPr>
        <w:t xml:space="preserve">  （4）文件齐全：已提供完整的技术文档（如操作手册、合格证等）及培训。</w:t>
      </w:r>
    </w:p>
    <w:p w14:paraId="24C780F7">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9.3 验收程序与结果处理</w:t>
      </w:r>
    </w:p>
    <w:p w14:paraId="076DD8F0">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（1）供应商完成安装调试后，应书面提请采购人组织验收。</w:t>
      </w:r>
    </w:p>
    <w:p w14:paraId="31280B28">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（2）验收由采购人依据第1条、第2条组织进行。对于招标文件中标注“★”的关键条款，必须进行逐项验证。</w:t>
      </w:r>
    </w:p>
    <w:p w14:paraId="193520D5">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3）验收不合格的，供应商须在采购人要求的期限内完成整改。若供应商交付的货物或服务经两次整改仍不符合验收标准，采购人有权根据合同约定追究其违约责任，包括但不限于要求退货、退款或扣除相应款项。 </w:t>
      </w:r>
    </w:p>
    <w:p w14:paraId="548C5FEF">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仿宋_GB2312" w:hAnsi="仿宋_GB2312" w:eastAsia="仿宋_GB2312" w:cs="仿宋_GB2312"/>
          <w:color w:val="auto"/>
          <w:highlight w:val="none"/>
          <w:lang w:val="en-US" w:eastAsia="zh-Hans"/>
        </w:rPr>
      </w:pPr>
    </w:p>
    <w:p w14:paraId="6393331E">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仿宋_GB2312" w:hAnsi="仿宋_GB2312" w:eastAsia="仿宋_GB2312" w:cs="仿宋_GB2312"/>
          <w:color w:val="auto"/>
          <w:highlight w:val="none"/>
          <w:lang w:val="en-US" w:eastAsia="zh-Hans"/>
        </w:rPr>
      </w:pPr>
      <w:r>
        <w:rPr>
          <w:rFonts w:hint="eastAsia" w:ascii="仿宋_GB2312" w:hAnsi="仿宋_GB2312" w:eastAsia="仿宋_GB2312" w:cs="仿宋_GB2312"/>
          <w:color w:val="auto"/>
          <w:highlight w:val="none"/>
          <w:lang w:val="en-US" w:eastAsia="zh-Hans"/>
        </w:rPr>
        <w:t>10.售后服务</w:t>
      </w:r>
    </w:p>
    <w:p w14:paraId="1E74F555">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仿宋_GB2312" w:hAnsi="仿宋_GB2312" w:eastAsia="仿宋_GB2312" w:cs="仿宋_GB2312"/>
          <w:color w:val="auto"/>
          <w:highlight w:val="none"/>
          <w:lang w:val="en-US" w:eastAsia="zh-Hans"/>
        </w:rPr>
      </w:pPr>
      <w:r>
        <w:rPr>
          <w:rFonts w:hint="eastAsia" w:ascii="仿宋_GB2312" w:hAnsi="仿宋_GB2312" w:eastAsia="仿宋_GB2312" w:cs="仿宋_GB2312"/>
          <w:color w:val="auto"/>
          <w:highlight w:val="none"/>
          <w:lang w:val="en-US" w:eastAsia="zh-Hans"/>
        </w:rPr>
        <w:t>（一）售后服务</w:t>
      </w:r>
    </w:p>
    <w:p w14:paraId="00838AA3">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仿宋_GB2312" w:hAnsi="仿宋_GB2312" w:eastAsia="仿宋_GB2312" w:cs="仿宋_GB2312"/>
          <w:color w:val="auto"/>
          <w:highlight w:val="none"/>
          <w:lang w:val="en-US" w:eastAsia="zh-Hans"/>
        </w:rPr>
      </w:pPr>
      <w:r>
        <w:rPr>
          <w:rFonts w:hint="eastAsia" w:ascii="仿宋_GB2312" w:hAnsi="仿宋_GB2312" w:eastAsia="仿宋_GB2312" w:cs="仿宋_GB2312"/>
          <w:color w:val="auto"/>
          <w:highlight w:val="none"/>
          <w:lang w:val="en-US" w:eastAsia="zh-Hans"/>
        </w:rPr>
        <w:t>（1）系统维护。要求提交以下内容。</w:t>
      </w:r>
    </w:p>
    <w:p w14:paraId="56B04EE2">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仿宋_GB2312" w:hAnsi="仿宋_GB2312" w:eastAsia="仿宋_GB2312" w:cs="仿宋_GB2312"/>
          <w:color w:val="auto"/>
          <w:highlight w:val="none"/>
          <w:lang w:val="en-US" w:eastAsia="zh-Hans"/>
        </w:rPr>
      </w:pPr>
      <w:r>
        <w:rPr>
          <w:rFonts w:hint="eastAsia" w:ascii="仿宋_GB2312" w:hAnsi="仿宋_GB2312" w:eastAsia="仿宋_GB2312" w:cs="仿宋_GB2312"/>
          <w:color w:val="auto"/>
          <w:highlight w:val="none"/>
          <w:lang w:val="en-US" w:eastAsia="zh-Hans"/>
        </w:rPr>
        <w:t>1）定期维护计划。</w:t>
      </w:r>
    </w:p>
    <w:p w14:paraId="2040A7E1">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仿宋_GB2312" w:hAnsi="仿宋_GB2312" w:eastAsia="仿宋_GB2312" w:cs="仿宋_GB2312"/>
          <w:color w:val="auto"/>
          <w:highlight w:val="none"/>
          <w:lang w:val="en-US" w:eastAsia="zh-Hans"/>
        </w:rPr>
      </w:pPr>
      <w:r>
        <w:rPr>
          <w:rFonts w:hint="eastAsia" w:ascii="仿宋_GB2312" w:hAnsi="仿宋_GB2312" w:eastAsia="仿宋_GB2312" w:cs="仿宋_GB2312"/>
          <w:color w:val="auto"/>
          <w:highlight w:val="none"/>
          <w:lang w:val="en-US" w:eastAsia="zh-Hans"/>
        </w:rPr>
        <w:t>2）对采购人不定期维护要求的响应措施。</w:t>
      </w:r>
    </w:p>
    <w:p w14:paraId="0D719296">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仿宋_GB2312" w:hAnsi="仿宋_GB2312" w:eastAsia="仿宋_GB2312" w:cs="仿宋_GB2312"/>
          <w:color w:val="auto"/>
          <w:highlight w:val="none"/>
          <w:lang w:val="en-US" w:eastAsia="zh-Hans"/>
        </w:rPr>
      </w:pPr>
      <w:r>
        <w:rPr>
          <w:rFonts w:hint="eastAsia" w:ascii="仿宋_GB2312" w:hAnsi="仿宋_GB2312" w:eastAsia="仿宋_GB2312" w:cs="仿宋_GB2312"/>
          <w:color w:val="auto"/>
          <w:highlight w:val="none"/>
          <w:lang w:val="en-US" w:eastAsia="zh-Hans"/>
        </w:rPr>
        <w:t>3）对用户修改设计要求的响应措施。</w:t>
      </w:r>
    </w:p>
    <w:p w14:paraId="11C9D845">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仿宋_GB2312" w:hAnsi="仿宋_GB2312" w:eastAsia="仿宋_GB2312" w:cs="仿宋_GB2312"/>
          <w:color w:val="auto"/>
          <w:highlight w:val="none"/>
          <w:lang w:val="en-US" w:eastAsia="zh-Hans"/>
        </w:rPr>
      </w:pPr>
      <w:r>
        <w:rPr>
          <w:rFonts w:hint="eastAsia" w:ascii="仿宋_GB2312" w:hAnsi="仿宋_GB2312" w:eastAsia="仿宋_GB2312" w:cs="仿宋_GB2312"/>
          <w:color w:val="auto"/>
          <w:highlight w:val="none"/>
          <w:lang w:val="en-US" w:eastAsia="zh-Hans"/>
        </w:rPr>
        <w:t>（2）技术支持</w:t>
      </w:r>
    </w:p>
    <w:p w14:paraId="3030F547">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仿宋_GB2312" w:hAnsi="仿宋_GB2312" w:eastAsia="仿宋_GB2312" w:cs="仿宋_GB2312"/>
          <w:color w:val="auto"/>
          <w:highlight w:val="none"/>
          <w:lang w:val="en-US" w:eastAsia="zh-Hans"/>
        </w:rPr>
      </w:pPr>
      <w:r>
        <w:rPr>
          <w:rFonts w:hint="eastAsia" w:ascii="仿宋_GB2312" w:hAnsi="仿宋_GB2312" w:eastAsia="仿宋_GB2312" w:cs="仿宋_GB2312"/>
          <w:color w:val="auto"/>
          <w:highlight w:val="none"/>
          <w:lang w:val="en-US" w:eastAsia="zh-Hans"/>
        </w:rPr>
        <w:t>1）提供7×24小时的技术咨询服务。</w:t>
      </w:r>
    </w:p>
    <w:p w14:paraId="053AAE8C">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仿宋_GB2312" w:hAnsi="仿宋_GB2312" w:eastAsia="仿宋_GB2312" w:cs="仿宋_GB2312"/>
          <w:color w:val="auto"/>
          <w:highlight w:val="none"/>
          <w:lang w:val="en-US" w:eastAsia="zh-Hans"/>
        </w:rPr>
      </w:pPr>
      <w:r>
        <w:rPr>
          <w:rFonts w:hint="eastAsia" w:ascii="仿宋_GB2312" w:hAnsi="仿宋_GB2312" w:eastAsia="仿宋_GB2312" w:cs="仿宋_GB2312"/>
          <w:color w:val="auto"/>
          <w:highlight w:val="none"/>
          <w:lang w:val="en-US" w:eastAsia="zh-Hans"/>
        </w:rPr>
        <w:t>2）敏感时期、重大节假日提供技术人员值守服务。</w:t>
      </w:r>
    </w:p>
    <w:p w14:paraId="5F29806F">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仿宋_GB2312" w:hAnsi="仿宋_GB2312" w:eastAsia="仿宋_GB2312" w:cs="仿宋_GB2312"/>
          <w:color w:val="auto"/>
          <w:highlight w:val="none"/>
          <w:lang w:val="en-US" w:eastAsia="zh-Hans"/>
        </w:rPr>
      </w:pPr>
      <w:r>
        <w:rPr>
          <w:rFonts w:hint="eastAsia" w:ascii="仿宋_GB2312" w:hAnsi="仿宋_GB2312" w:eastAsia="仿宋_GB2312" w:cs="仿宋_GB2312"/>
          <w:color w:val="auto"/>
          <w:highlight w:val="none"/>
          <w:lang w:val="en-US" w:eastAsia="zh-Hans"/>
        </w:rPr>
        <w:t>（3）故障响应</w:t>
      </w:r>
    </w:p>
    <w:p w14:paraId="40EABD29">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仿宋_GB2312" w:hAnsi="仿宋_GB2312" w:eastAsia="仿宋_GB2312" w:cs="仿宋_GB2312"/>
          <w:color w:val="auto"/>
          <w:highlight w:val="none"/>
          <w:lang w:val="en-US" w:eastAsia="zh-Hans"/>
        </w:rPr>
      </w:pPr>
      <w:r>
        <w:rPr>
          <w:rFonts w:hint="eastAsia" w:ascii="仿宋_GB2312" w:hAnsi="仿宋_GB2312" w:eastAsia="仿宋_GB2312" w:cs="仿宋_GB2312"/>
          <w:color w:val="auto"/>
          <w:highlight w:val="none"/>
          <w:lang w:val="en-US" w:eastAsia="zh-Hans"/>
        </w:rPr>
        <w:t>1）提供7×24小时的故障服务受理。</w:t>
      </w:r>
    </w:p>
    <w:p w14:paraId="6069A1C3">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仿宋_GB2312" w:hAnsi="仿宋_GB2312" w:eastAsia="仿宋_GB2312" w:cs="仿宋_GB2312"/>
          <w:color w:val="auto"/>
          <w:highlight w:val="none"/>
          <w:lang w:val="en-US" w:eastAsia="zh-Hans"/>
        </w:rPr>
      </w:pPr>
      <w:r>
        <w:rPr>
          <w:rFonts w:hint="eastAsia" w:ascii="仿宋_GB2312" w:hAnsi="仿宋_GB2312" w:eastAsia="仿宋_GB2312" w:cs="仿宋_GB2312"/>
          <w:color w:val="auto"/>
          <w:highlight w:val="none"/>
          <w:lang w:val="en-US" w:eastAsia="zh-Hans"/>
        </w:rPr>
        <w:t>2）对重大故障提供7×24小时的现场支援，一般故障提供5×8小时/2小时内现场支援。</w:t>
      </w:r>
    </w:p>
    <w:p w14:paraId="28A8867F">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仿宋_GB2312" w:hAnsi="仿宋_GB2312" w:eastAsia="仿宋_GB2312" w:cs="仿宋_GB2312"/>
          <w:color w:val="auto"/>
          <w:highlight w:val="none"/>
          <w:lang w:val="en-US" w:eastAsia="zh-Hans"/>
        </w:rPr>
      </w:pPr>
      <w:r>
        <w:rPr>
          <w:rFonts w:hint="eastAsia" w:ascii="仿宋_GB2312" w:hAnsi="仿宋_GB2312" w:eastAsia="仿宋_GB2312" w:cs="仿宋_GB2312"/>
          <w:color w:val="auto"/>
          <w:highlight w:val="none"/>
          <w:lang w:val="en-US" w:eastAsia="zh-Hans"/>
        </w:rPr>
        <w:t>3）备件服务：遇到重大故障，提供系统所需更换的任何备件。</w:t>
      </w:r>
    </w:p>
    <w:p w14:paraId="6EF836D0">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仿宋_GB2312" w:hAnsi="仿宋_GB2312" w:eastAsia="仿宋_GB2312" w:cs="仿宋_GB2312"/>
          <w:color w:val="auto"/>
          <w:highlight w:val="none"/>
          <w:lang w:val="en-US" w:eastAsia="zh-Hans"/>
        </w:rPr>
      </w:pPr>
      <w:r>
        <w:rPr>
          <w:rFonts w:hint="eastAsia" w:ascii="仿宋_GB2312" w:hAnsi="仿宋_GB2312" w:eastAsia="仿宋_GB2312" w:cs="仿宋_GB2312"/>
          <w:color w:val="auto"/>
          <w:highlight w:val="none"/>
          <w:lang w:val="en-US" w:eastAsia="zh-Hans"/>
        </w:rPr>
        <w:t>（二）质保期内出现任何质量问题（人为破坏或自然灾害等不可抗力除外），由中标人负责全免费（免全部工时费、材料费、管理费、财务费等）更换或维修。质保期满后，无论采购人是否另行选择维保供应商，中标人应及时优惠提供所需的备品备件。</w:t>
      </w:r>
    </w:p>
    <w:p w14:paraId="1310F7C0">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仿宋_GB2312" w:hAnsi="仿宋_GB2312" w:eastAsia="仿宋_GB2312" w:cs="仿宋_GB2312"/>
          <w:color w:val="auto"/>
          <w:highlight w:val="none"/>
          <w:lang w:val="en-US" w:eastAsia="zh-Hans"/>
        </w:rPr>
      </w:pPr>
      <w:r>
        <w:rPr>
          <w:rFonts w:hint="eastAsia" w:ascii="仿宋_GB2312" w:hAnsi="仿宋_GB2312" w:eastAsia="仿宋_GB2312" w:cs="仿宋_GB2312"/>
          <w:color w:val="auto"/>
          <w:highlight w:val="none"/>
          <w:lang w:val="en-US" w:eastAsia="zh-Hans"/>
        </w:rPr>
        <w:t>11.质保期</w:t>
      </w:r>
    </w:p>
    <w:p w14:paraId="1A413C1B">
      <w:r>
        <w:rPr>
          <w:rFonts w:hint="eastAsia" w:ascii="仿宋_GB2312" w:hAnsi="仿宋_GB2312" w:eastAsia="仿宋_GB2312" w:cs="仿宋_GB2312"/>
          <w:color w:val="auto"/>
          <w:highlight w:val="none"/>
          <w:lang w:val="en-US" w:eastAsia="zh-Hans"/>
        </w:rPr>
        <w:t>经验收合格之日起免费质保三年，终身维护。货物清单及技术参数另有规定的，按其规定。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F040ED"/>
    <w:rsid w:val="0CCD4735"/>
    <w:rsid w:val="33F040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4361</Words>
  <Characters>4623</Characters>
  <Lines>0</Lines>
  <Paragraphs>0</Paragraphs>
  <TotalTime>1</TotalTime>
  <ScaleCrop>false</ScaleCrop>
  <LinksUpToDate>false</LinksUpToDate>
  <CharactersWithSpaces>4638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2026-08-17T03:16:00Z</dcterms:created>
  <dc:creator>bbb</dc:creator>
  <cp:lastModifiedBy>bbb</cp:lastModifiedBy>
  <dcterms:modified xsi:type="dcterms:W3CDTF">2026-08-18T07:17:19Z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3DFE2158DF43463F8EB9FB54C9EE7339_11</vt:lpwstr>
  </property>
  <property fmtid="{D5CDD505-2E9C-101B-9397-08002B2CF9AE}" pid="4" name="KSOTemplateDocerSaveRecord">
    <vt:lpwstr>eyJoZGlkIjoiMDM0MTAyNWQzOGE5Yjk2NzNmNTUyOTBlYjg3MDRhYWMiLCJ1c2VySWQiOiIyMzEzOTEwODUifQ==</vt:lpwstr>
  </property>
</Properties>
</file>