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E720D">
      <w:pPr>
        <w:pStyle w:val="2"/>
        <w:adjustRightInd w:val="0"/>
        <w:snapToGrid w:val="0"/>
        <w:spacing w:line="360" w:lineRule="auto"/>
        <w:jc w:val="center"/>
        <w:outlineLvl w:val="0"/>
        <w:rPr>
          <w:rFonts w:hint="eastAsia" w:ascii="黑体" w:hAnsi="华文中宋" w:eastAsia="黑体"/>
          <w:b/>
          <w:sz w:val="32"/>
          <w:szCs w:val="32"/>
        </w:rPr>
      </w:pPr>
      <w:r>
        <w:rPr>
          <w:rFonts w:hint="eastAsia" w:ascii="黑体" w:hAnsi="华文中宋" w:eastAsia="黑体"/>
          <w:b/>
          <w:sz w:val="32"/>
          <w:szCs w:val="32"/>
          <w:highlight w:val="white"/>
        </w:rPr>
        <w:t>政府采购合同</w:t>
      </w:r>
    </w:p>
    <w:p w14:paraId="48EFA02B">
      <w:pPr>
        <w:rPr>
          <w:rFonts w:ascii="Times New Roman" w:hAnsi="Times New Roman" w:eastAsia="宋体" w:cs="Times New Roman"/>
          <w:highlight w:val="red"/>
        </w:rPr>
      </w:pPr>
    </w:p>
    <w:p w14:paraId="432E43B3">
      <w:pPr>
        <w:pStyle w:val="7"/>
        <w:adjustRightInd w:val="0"/>
        <w:snapToGrid w:val="0"/>
        <w:jc w:val="center"/>
        <w:rPr>
          <w:rFonts w:ascii="黑体" w:hAnsi="华文中宋" w:eastAsia="黑体" w:cs="Times New Roman"/>
          <w:sz w:val="28"/>
          <w:szCs w:val="28"/>
        </w:rPr>
      </w:pPr>
      <w:bookmarkStart w:id="0" w:name="_Toc256000046"/>
      <w:bookmarkStart w:id="1" w:name="_Toc29913945"/>
      <w:r>
        <w:rPr>
          <w:rFonts w:hint="eastAsia" w:ascii="黑体" w:hAnsi="华文中宋" w:eastAsia="黑体" w:cs="Times New Roman"/>
          <w:sz w:val="28"/>
          <w:szCs w:val="28"/>
        </w:rPr>
        <w:t>第一节 政府采购合同协议书</w:t>
      </w:r>
      <w:bookmarkEnd w:id="0"/>
      <w:bookmarkEnd w:id="1"/>
    </w:p>
    <w:p w14:paraId="31D8F3D3">
      <w:pPr>
        <w:pStyle w:val="8"/>
        <w:adjustRightInd w:val="0"/>
        <w:snapToGrid w:val="0"/>
        <w:spacing w:before="156" w:beforeLines="50" w:line="360" w:lineRule="auto"/>
        <w:ind w:firstLine="5460" w:firstLineChars="2600"/>
        <w:rPr>
          <w:rFonts w:hint="eastAsia" w:ascii="宋体" w:hAnsi="宋体" w:eastAsia="宋体" w:cs="Times New Roman"/>
          <w:b/>
          <w:color w:val="auto"/>
          <w:szCs w:val="21"/>
          <w:highlight w:val="none"/>
        </w:rPr>
      </w:pPr>
      <w:r>
        <w:rPr>
          <w:rFonts w:hint="eastAsia" w:ascii="宋体" w:hAnsi="宋体" w:eastAsia="宋体" w:cs="Times New Roman"/>
          <w:color w:val="auto"/>
          <w:szCs w:val="21"/>
          <w:highlight w:val="none"/>
        </w:rPr>
        <w:t>采购合同编号：</w:t>
      </w:r>
      <w:r>
        <w:rPr>
          <w:rFonts w:hint="eastAsia" w:ascii="宋体" w:hAnsi="宋体" w:eastAsia="宋体" w:cs="Times New Roman"/>
          <w:color w:val="auto"/>
          <w:szCs w:val="21"/>
          <w:highlight w:val="none"/>
          <w:u w:val="single"/>
        </w:rPr>
        <w:t xml:space="preserve">                 </w:t>
      </w:r>
    </w:p>
    <w:p w14:paraId="26C64EAA">
      <w:pPr>
        <w:pStyle w:val="8"/>
        <w:adjustRightInd w:val="0"/>
        <w:snapToGrid w:val="0"/>
        <w:spacing w:before="156" w:beforeLines="50" w:line="360" w:lineRule="auto"/>
        <w:jc w:val="center"/>
        <w:rPr>
          <w:rFonts w:hint="eastAsia" w:ascii="宋体" w:hAnsi="宋体" w:eastAsia="宋体" w:cs="Times New Roman"/>
          <w:b/>
          <w:color w:val="auto"/>
          <w:szCs w:val="21"/>
          <w:highlight w:val="none"/>
        </w:rPr>
      </w:pPr>
    </w:p>
    <w:p w14:paraId="36297A04">
      <w:pPr>
        <w:adjustRightInd w:val="0"/>
        <w:snapToGrid w:val="0"/>
        <w:spacing w:before="156" w:beforeLines="50"/>
        <w:rPr>
          <w:rFonts w:ascii="宋体" w:hAnsi="宋体" w:eastAsia="宋体" w:cs="Times New Roman"/>
          <w:color w:val="auto"/>
          <w:sz w:val="21"/>
          <w:szCs w:val="21"/>
          <w:highlight w:val="none"/>
        </w:rPr>
      </w:pPr>
      <w:r>
        <w:rPr>
          <w:rFonts w:ascii="宋体" w:hAnsi="宋体" w:eastAsia="宋体" w:cs="Times New Roman"/>
          <w:b/>
          <w:color w:val="auto"/>
          <w:sz w:val="21"/>
          <w:szCs w:val="21"/>
          <w:highlight w:val="none"/>
        </w:rPr>
        <w:t>甲方：湖南省职业病防治院</w:t>
      </w:r>
      <w:bookmarkStart w:id="3" w:name="_GoBack"/>
      <w:bookmarkEnd w:id="3"/>
    </w:p>
    <w:p w14:paraId="7F2FCE7F">
      <w:pPr>
        <w:adjustRightInd w:val="0"/>
        <w:snapToGrid w:val="0"/>
        <w:spacing w:before="156" w:beforeLines="5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地址：长沙市雨花区雨花路21号</w:t>
      </w:r>
    </w:p>
    <w:p w14:paraId="2DD7F042">
      <w:pPr>
        <w:adjustRightInd w:val="0"/>
        <w:snapToGrid w:val="0"/>
        <w:spacing w:before="156" w:beforeLines="5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乙方：</w:t>
      </w:r>
    </w:p>
    <w:p w14:paraId="6672FC7F">
      <w:pPr>
        <w:tabs>
          <w:tab w:val="left" w:pos="630"/>
        </w:tabs>
        <w:adjustRightInd w:val="0"/>
        <w:spacing w:line="480" w:lineRule="exac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地址：</w:t>
      </w:r>
    </w:p>
    <w:p w14:paraId="089B7F22">
      <w:pPr>
        <w:tabs>
          <w:tab w:val="left" w:pos="630"/>
        </w:tabs>
        <w:adjustRightInd w:val="0"/>
        <w:spacing w:line="336"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为了保护甲、乙双方合法权益，根据《中华人民共和国民法典》及其他有关法律、法规的规定，本着平等、诚实信用及协商一致的原则，签订本合同协议书。</w:t>
      </w:r>
    </w:p>
    <w:p w14:paraId="2C510E39">
      <w:pPr>
        <w:tabs>
          <w:tab w:val="left" w:pos="630"/>
        </w:tabs>
        <w:adjustRightInd w:val="0"/>
        <w:spacing w:line="336"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一、项目信息</w:t>
      </w:r>
    </w:p>
    <w:p w14:paraId="26E46DB4">
      <w:pPr>
        <w:tabs>
          <w:tab w:val="left" w:pos="630"/>
        </w:tabs>
        <w:adjustRightInd w:val="0"/>
        <w:spacing w:line="336" w:lineRule="auto"/>
        <w:ind w:firstLine="420" w:firstLineChars="200"/>
        <w:rPr>
          <w:rFonts w:hint="eastAsia" w:ascii="宋体" w:hAnsi="宋体" w:eastAsia="宋体" w:cs="Times New Roman"/>
          <w:color w:val="auto"/>
          <w:sz w:val="21"/>
          <w:szCs w:val="21"/>
          <w:highlight w:val="none"/>
        </w:rPr>
      </w:pPr>
      <w:r>
        <w:rPr>
          <w:rFonts w:ascii="宋体" w:hAnsi="宋体" w:eastAsia="宋体" w:cs="Times New Roman"/>
          <w:color w:val="auto"/>
          <w:sz w:val="21"/>
          <w:szCs w:val="21"/>
          <w:highlight w:val="none"/>
        </w:rPr>
        <w:t>1.采购项目名称：</w:t>
      </w:r>
      <w:r>
        <w:rPr>
          <w:rFonts w:hint="eastAsia" w:ascii="宋体" w:hAnsi="宋体" w:eastAsia="宋体" w:cs="Times New Roman"/>
          <w:color w:val="auto"/>
          <w:sz w:val="21"/>
          <w:szCs w:val="21"/>
          <w:highlight w:val="none"/>
        </w:rPr>
        <w:t xml:space="preserve"> </w:t>
      </w:r>
    </w:p>
    <w:p w14:paraId="35BD2D12">
      <w:pPr>
        <w:tabs>
          <w:tab w:val="left" w:pos="630"/>
        </w:tabs>
        <w:adjustRightInd w:val="0"/>
        <w:spacing w:line="336" w:lineRule="auto"/>
        <w:ind w:firstLine="420" w:firstLineChars="200"/>
        <w:rPr>
          <w:rFonts w:hint="eastAsia" w:ascii="宋体" w:hAnsi="宋体" w:eastAsia="宋体" w:cs="Times New Roman"/>
          <w:color w:val="auto"/>
          <w:sz w:val="21"/>
          <w:szCs w:val="21"/>
          <w:highlight w:val="none"/>
        </w:rPr>
      </w:pPr>
      <w:r>
        <w:rPr>
          <w:rFonts w:ascii="宋体" w:hAnsi="宋体" w:eastAsia="宋体" w:cs="Times New Roman"/>
          <w:color w:val="auto"/>
          <w:sz w:val="21"/>
          <w:szCs w:val="21"/>
          <w:highlight w:val="none"/>
        </w:rPr>
        <w:t>2.采购编号：</w:t>
      </w:r>
      <w:r>
        <w:rPr>
          <w:rFonts w:hint="eastAsia" w:ascii="宋体" w:hAnsi="宋体" w:eastAsia="宋体" w:cs="宋体"/>
          <w:color w:val="auto"/>
          <w:sz w:val="21"/>
          <w:szCs w:val="21"/>
          <w:highlight w:val="none"/>
        </w:rPr>
        <w:t xml:space="preserve"> </w:t>
      </w:r>
    </w:p>
    <w:p w14:paraId="505B03F4">
      <w:pPr>
        <w:tabs>
          <w:tab w:val="left" w:pos="630"/>
        </w:tabs>
        <w:adjustRightInd w:val="0"/>
        <w:spacing w:line="336" w:lineRule="auto"/>
        <w:ind w:firstLine="420" w:firstLineChars="200"/>
        <w:rPr>
          <w:rFonts w:ascii="宋体" w:hAnsi="宋体" w:eastAsia="宋体" w:cs="Times New Roman"/>
          <w:b/>
          <w:color w:val="auto"/>
          <w:sz w:val="21"/>
          <w:szCs w:val="21"/>
          <w:highlight w:val="none"/>
        </w:rPr>
      </w:pPr>
      <w:r>
        <w:rPr>
          <w:rFonts w:ascii="宋体" w:hAnsi="宋体" w:eastAsia="宋体" w:cs="Times New Roman"/>
          <w:color w:val="auto"/>
          <w:sz w:val="21"/>
          <w:szCs w:val="21"/>
          <w:highlight w:val="none"/>
        </w:rPr>
        <w:t>3.项目内容（名称、规格型号、数量、合同金额等）：</w:t>
      </w:r>
    </w:p>
    <w:tbl>
      <w:tblPr>
        <w:tblStyle w:val="5"/>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310"/>
        <w:gridCol w:w="1923"/>
        <w:gridCol w:w="727"/>
        <w:gridCol w:w="1134"/>
        <w:gridCol w:w="1134"/>
        <w:gridCol w:w="709"/>
      </w:tblGrid>
      <w:tr w14:paraId="5E03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52" w:type="dxa"/>
            <w:noWrap/>
            <w:vAlign w:val="center"/>
          </w:tcPr>
          <w:p w14:paraId="57A34F6B">
            <w:pPr>
              <w:widowControl/>
              <w:jc w:val="center"/>
              <w:textAlignment w:val="center"/>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货物</w:t>
            </w:r>
            <w:r>
              <w:rPr>
                <w:rFonts w:ascii="Times New Roman" w:hAnsi="Times New Roman" w:eastAsia="宋体" w:cs="Times New Roman"/>
                <w:color w:val="auto"/>
                <w:sz w:val="21"/>
                <w:szCs w:val="21"/>
                <w:highlight w:val="none"/>
              </w:rPr>
              <w:t>名称</w:t>
            </w:r>
          </w:p>
        </w:tc>
        <w:tc>
          <w:tcPr>
            <w:tcW w:w="1310" w:type="dxa"/>
            <w:noWrap/>
            <w:vAlign w:val="center"/>
          </w:tcPr>
          <w:p w14:paraId="055E6517">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规格型号</w:t>
            </w:r>
          </w:p>
        </w:tc>
        <w:tc>
          <w:tcPr>
            <w:tcW w:w="1923" w:type="dxa"/>
            <w:noWrap/>
            <w:vAlign w:val="center"/>
          </w:tcPr>
          <w:p w14:paraId="4760BA4B">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制造商</w:t>
            </w:r>
          </w:p>
        </w:tc>
        <w:tc>
          <w:tcPr>
            <w:tcW w:w="727" w:type="dxa"/>
            <w:noWrap/>
            <w:vAlign w:val="center"/>
          </w:tcPr>
          <w:p w14:paraId="727D28E2">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数量</w:t>
            </w:r>
          </w:p>
        </w:tc>
        <w:tc>
          <w:tcPr>
            <w:tcW w:w="1134" w:type="dxa"/>
            <w:noWrap/>
            <w:vAlign w:val="center"/>
          </w:tcPr>
          <w:p w14:paraId="3C305EB5">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单价(元)</w:t>
            </w:r>
          </w:p>
        </w:tc>
        <w:tc>
          <w:tcPr>
            <w:tcW w:w="1134" w:type="dxa"/>
            <w:noWrap/>
            <w:vAlign w:val="center"/>
          </w:tcPr>
          <w:p w14:paraId="53A3AF16">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小计(元)</w:t>
            </w:r>
          </w:p>
        </w:tc>
        <w:tc>
          <w:tcPr>
            <w:tcW w:w="709" w:type="dxa"/>
            <w:noWrap/>
            <w:vAlign w:val="center"/>
          </w:tcPr>
          <w:p w14:paraId="4C4ECA61">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备注</w:t>
            </w:r>
          </w:p>
        </w:tc>
      </w:tr>
      <w:tr w14:paraId="440D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52" w:type="dxa"/>
            <w:noWrap/>
            <w:vAlign w:val="center"/>
          </w:tcPr>
          <w:p w14:paraId="3A1D2BAF">
            <w:pPr>
              <w:widowControl/>
              <w:jc w:val="center"/>
              <w:textAlignment w:val="center"/>
              <w:rPr>
                <w:rFonts w:ascii="Times New Roman" w:hAnsi="Times New Roman" w:eastAsia="宋体" w:cs="Times New Roman"/>
                <w:color w:val="auto"/>
                <w:sz w:val="21"/>
                <w:szCs w:val="21"/>
                <w:highlight w:val="none"/>
              </w:rPr>
            </w:pPr>
          </w:p>
        </w:tc>
        <w:tc>
          <w:tcPr>
            <w:tcW w:w="1310" w:type="dxa"/>
            <w:noWrap/>
            <w:vAlign w:val="center"/>
          </w:tcPr>
          <w:p w14:paraId="007AF3FC">
            <w:pPr>
              <w:widowControl/>
              <w:jc w:val="center"/>
              <w:textAlignment w:val="center"/>
              <w:rPr>
                <w:rFonts w:ascii="Times New Roman" w:hAnsi="Times New Roman" w:eastAsia="宋体" w:cs="Times New Roman"/>
                <w:color w:val="auto"/>
                <w:sz w:val="21"/>
                <w:szCs w:val="21"/>
                <w:highlight w:val="none"/>
              </w:rPr>
            </w:pPr>
          </w:p>
        </w:tc>
        <w:tc>
          <w:tcPr>
            <w:tcW w:w="1923" w:type="dxa"/>
            <w:noWrap/>
            <w:vAlign w:val="center"/>
          </w:tcPr>
          <w:p w14:paraId="65B4CCCE">
            <w:pPr>
              <w:widowControl/>
              <w:jc w:val="center"/>
              <w:textAlignment w:val="center"/>
              <w:rPr>
                <w:rFonts w:ascii="Times New Roman" w:hAnsi="Times New Roman" w:eastAsia="宋体" w:cs="Times New Roman"/>
                <w:color w:val="auto"/>
                <w:sz w:val="21"/>
                <w:szCs w:val="21"/>
                <w:highlight w:val="none"/>
              </w:rPr>
            </w:pPr>
          </w:p>
        </w:tc>
        <w:tc>
          <w:tcPr>
            <w:tcW w:w="727" w:type="dxa"/>
            <w:noWrap/>
            <w:vAlign w:val="center"/>
          </w:tcPr>
          <w:p w14:paraId="5ECEB447">
            <w:pPr>
              <w:widowControl/>
              <w:jc w:val="center"/>
              <w:textAlignment w:val="center"/>
              <w:rPr>
                <w:rFonts w:ascii="Times New Roman" w:hAnsi="Times New Roman" w:eastAsia="宋体" w:cs="Times New Roman"/>
                <w:color w:val="auto"/>
                <w:sz w:val="21"/>
                <w:szCs w:val="21"/>
                <w:highlight w:val="none"/>
              </w:rPr>
            </w:pPr>
          </w:p>
        </w:tc>
        <w:tc>
          <w:tcPr>
            <w:tcW w:w="1134" w:type="dxa"/>
            <w:noWrap/>
            <w:vAlign w:val="center"/>
          </w:tcPr>
          <w:p w14:paraId="0C3B5C6C">
            <w:pPr>
              <w:widowControl/>
              <w:jc w:val="center"/>
              <w:textAlignment w:val="center"/>
              <w:rPr>
                <w:rFonts w:ascii="Times New Roman" w:hAnsi="Times New Roman" w:eastAsia="宋体" w:cs="Times New Roman"/>
                <w:color w:val="auto"/>
                <w:sz w:val="21"/>
                <w:szCs w:val="21"/>
                <w:highlight w:val="none"/>
              </w:rPr>
            </w:pPr>
          </w:p>
        </w:tc>
        <w:tc>
          <w:tcPr>
            <w:tcW w:w="1134" w:type="dxa"/>
            <w:noWrap/>
            <w:vAlign w:val="center"/>
          </w:tcPr>
          <w:p w14:paraId="18C94A58">
            <w:pPr>
              <w:widowControl/>
              <w:jc w:val="center"/>
              <w:textAlignment w:val="center"/>
              <w:rPr>
                <w:rFonts w:ascii="Times New Roman" w:hAnsi="Times New Roman" w:eastAsia="宋体" w:cs="Times New Roman"/>
                <w:color w:val="auto"/>
                <w:sz w:val="21"/>
                <w:szCs w:val="21"/>
                <w:highlight w:val="none"/>
              </w:rPr>
            </w:pPr>
          </w:p>
        </w:tc>
        <w:tc>
          <w:tcPr>
            <w:tcW w:w="709" w:type="dxa"/>
            <w:noWrap/>
            <w:vAlign w:val="center"/>
          </w:tcPr>
          <w:p w14:paraId="3EA0AF8F">
            <w:pPr>
              <w:tabs>
                <w:tab w:val="left" w:pos="630"/>
              </w:tabs>
              <w:spacing w:line="3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w:t>
            </w:r>
          </w:p>
        </w:tc>
      </w:tr>
      <w:tr w14:paraId="5F7DE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52" w:type="dxa"/>
            <w:noWrap/>
            <w:vAlign w:val="center"/>
          </w:tcPr>
          <w:p w14:paraId="4D455711">
            <w:pPr>
              <w:widowControl/>
              <w:jc w:val="center"/>
              <w:textAlignment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合计总金额</w:t>
            </w:r>
          </w:p>
        </w:tc>
        <w:tc>
          <w:tcPr>
            <w:tcW w:w="6937" w:type="dxa"/>
            <w:gridSpan w:val="6"/>
            <w:noWrap/>
            <w:vAlign w:val="center"/>
          </w:tcPr>
          <w:p w14:paraId="18334C9E">
            <w:pPr>
              <w:tabs>
                <w:tab w:val="left" w:pos="630"/>
              </w:tabs>
              <w:spacing w:line="360" w:lineRule="auto"/>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大写： 元整 小写：¥ .00元</w:t>
            </w:r>
          </w:p>
        </w:tc>
      </w:tr>
    </w:tbl>
    <w:p w14:paraId="14EC3837">
      <w:pPr>
        <w:tabs>
          <w:tab w:val="left" w:pos="630"/>
        </w:tabs>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二、质量标准和技术规格</w:t>
      </w:r>
    </w:p>
    <w:p w14:paraId="75E62BA9">
      <w:pPr>
        <w:tabs>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乙方提供和交付的货物应是全新的、未使用过的原装正品，完全符合国家技术规范和质量标准；</w:t>
      </w:r>
      <w:r>
        <w:rPr>
          <w:rFonts w:ascii="Arial" w:hAnsi="Arial" w:eastAsia="宋体" w:cs="Times New Roman"/>
          <w:color w:val="auto"/>
          <w:sz w:val="21"/>
          <w:szCs w:val="21"/>
          <w:highlight w:val="none"/>
        </w:rPr>
        <w:t>并向甲方提供乙方以及生产者的合法资质文件，确保产品信息具有可追溯性</w:t>
      </w:r>
      <w:r>
        <w:rPr>
          <w:rFonts w:ascii="宋体" w:hAnsi="宋体" w:eastAsia="宋体" w:cs="Times New Roman"/>
          <w:color w:val="auto"/>
          <w:sz w:val="21"/>
          <w:szCs w:val="21"/>
          <w:highlight w:val="none"/>
        </w:rPr>
        <w:t>。</w:t>
      </w:r>
    </w:p>
    <w:p w14:paraId="316DDDB9">
      <w:pPr>
        <w:tabs>
          <w:tab w:val="left" w:pos="630"/>
        </w:tabs>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三、包装标准</w:t>
      </w:r>
    </w:p>
    <w:p w14:paraId="1FE4DD99">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1、包装应以货物运输及装卸过程中在非人为因素影响下不发生破坏为原则。由于包装不善引起的货物锈蚀、损坏和损失由乙方承担，并予以全部退还。</w:t>
      </w:r>
    </w:p>
    <w:p w14:paraId="720B298D">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2、包装箱内应附一份详细装箱单和合格证，使用说明书、质量检验证明书、随配附件和工具等应随货同行。</w:t>
      </w:r>
    </w:p>
    <w:p w14:paraId="075458F7">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四、交货时间、地点及方式</w:t>
      </w:r>
    </w:p>
    <w:p w14:paraId="612C4B32">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自合同签订后</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日内将合同标的货物送到甲方指定地点，并完成安装调试、正常使用。期间所发生的运输费、保险费、装卸费（含吊装、上下楼费）、保管费等伴随服务费均包含在合同总价中，甲方不再另外支付费用。</w:t>
      </w:r>
    </w:p>
    <w:p w14:paraId="2C6F7245">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五、安装调试和验收</w:t>
      </w:r>
    </w:p>
    <w:p w14:paraId="6DB0C920">
      <w:pPr>
        <w:tabs>
          <w:tab w:val="left" w:pos="420"/>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设备安装前，厂家工程师须协助并指导甲方相关人员确认安装准备工作。设备运抵安装地点后，乙方应第一时间联系甲方物资供应部项目验收负责人（姓名：</w:t>
      </w:r>
      <w:r>
        <w:rPr>
          <w:rFonts w:hint="eastAsia" w:ascii="宋体" w:hAnsi="宋体" w:eastAsia="宋体" w:cs="Times New Roman"/>
          <w:color w:val="auto"/>
          <w:sz w:val="21"/>
          <w:szCs w:val="21"/>
          <w:highlight w:val="none"/>
          <w:lang w:val="en-US" w:eastAsia="zh-CN"/>
        </w:rPr>
        <w:t xml:space="preserve"> </w:t>
      </w:r>
      <w:r>
        <w:rPr>
          <w:rFonts w:ascii="宋体" w:hAnsi="宋体" w:eastAsia="宋体" w:cs="Times New Roman"/>
          <w:color w:val="auto"/>
          <w:sz w:val="21"/>
          <w:szCs w:val="21"/>
          <w:highlight w:val="none"/>
        </w:rPr>
        <w:t>，联系方式：</w:t>
      </w:r>
      <w:r>
        <w:rPr>
          <w:rFonts w:hint="eastAsia" w:ascii="宋体" w:hAnsi="宋体" w:eastAsia="宋体" w:cs="Times New Roman"/>
          <w:color w:val="auto"/>
          <w:sz w:val="21"/>
          <w:szCs w:val="21"/>
          <w:highlight w:val="none"/>
          <w:lang w:val="en-US" w:eastAsia="zh-CN"/>
        </w:rPr>
        <w:t xml:space="preserve">    </w:t>
      </w:r>
      <w:r>
        <w:rPr>
          <w:rFonts w:ascii="宋体" w:hAnsi="宋体" w:eastAsia="宋体" w:cs="Times New Roman"/>
          <w:color w:val="auto"/>
          <w:sz w:val="21"/>
          <w:szCs w:val="21"/>
          <w:highlight w:val="none"/>
        </w:rPr>
        <w:t>），配合办理货物清点、验收及入库等相关手续。同时，乙方在接到甲方通知后，须指派有经验的技术人员严格按照医院制度及合同要求进行安装调试。安装调试费由乙方承担；若因乙方未及时联系甲方验收负责人而导致验收入库及项目延期的，相关后果由乙方自行承担。</w:t>
      </w:r>
    </w:p>
    <w:p w14:paraId="556166FD">
      <w:pPr>
        <w:numPr>
          <w:ilvl w:val="1"/>
          <w:numId w:val="0"/>
        </w:numPr>
        <w:tabs>
          <w:tab w:val="left" w:pos="630"/>
        </w:tabs>
        <w:adjustRightInd w:val="0"/>
        <w:spacing w:line="312" w:lineRule="auto"/>
        <w:ind w:left="0" w:leftChars="0" w:firstLine="420" w:firstLineChars="200"/>
        <w:rPr>
          <w:rFonts w:ascii="宋体" w:hAnsi="宋体" w:eastAsia="宋体" w:cs="Times New Roman"/>
          <w:color w:val="auto"/>
          <w:sz w:val="21"/>
          <w:szCs w:val="21"/>
          <w:highlight w:val="none"/>
        </w:rPr>
      </w:pPr>
      <w:r>
        <w:rPr>
          <w:rFonts w:hint="default" w:ascii="宋体" w:hAnsi="宋体" w:eastAsia="宋体" w:cs="Times New Roman"/>
          <w:color w:val="auto"/>
          <w:kern w:val="2"/>
          <w:sz w:val="21"/>
          <w:szCs w:val="21"/>
          <w:lang w:val="en-US" w:eastAsia="zh-CN" w:bidi="ar-SA"/>
        </w:rPr>
        <w:t>（一）</w:t>
      </w:r>
      <w:r>
        <w:rPr>
          <w:rFonts w:ascii="宋体" w:hAnsi="宋体" w:eastAsia="宋体" w:cs="Times New Roman"/>
          <w:color w:val="auto"/>
          <w:sz w:val="21"/>
          <w:szCs w:val="21"/>
          <w:highlight w:val="none"/>
        </w:rPr>
        <w:t>安装调试</w:t>
      </w:r>
    </w:p>
    <w:p w14:paraId="11D34F1E">
      <w:pPr>
        <w:numPr>
          <w:ilvl w:val="0"/>
          <w:numId w:val="1"/>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乙方负责设备的性能调试（性能验证），调试结果与招标要求不符的，甲方有权无条件退货并追究相关法律责任。</w:t>
      </w:r>
    </w:p>
    <w:p w14:paraId="033D0C0C">
      <w:pPr>
        <w:numPr>
          <w:ilvl w:val="0"/>
          <w:numId w:val="1"/>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在安装调试过程中产生的一切人员、设备损伤损坏等不良事件均由乙方负责。</w:t>
      </w:r>
    </w:p>
    <w:p w14:paraId="05661A8B">
      <w:pPr>
        <w:numPr>
          <w:ilvl w:val="0"/>
          <w:numId w:val="1"/>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乙方在甲方现场工作期间，乙方应对安装现场的其他设备、设施有良好保护措施，如因乙方原因造成甲方安装场地或其他设备、设施损坏的，乙方承担全部赔偿责任。</w:t>
      </w:r>
    </w:p>
    <w:p w14:paraId="3E62A113">
      <w:pPr>
        <w:numPr>
          <w:ilvl w:val="0"/>
          <w:numId w:val="1"/>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在设备安装调试过程中产生的垃圾、废置配件、废品等废弃物，由乙方按照国家及当地政府的有关规定妥善处置，废弃物的处置费用等已包含在合同总价内。如因此造成环境污染、环境破坏或其他损害等产生的全部费用由乙方承担。</w:t>
      </w:r>
    </w:p>
    <w:p w14:paraId="7E5FEE82">
      <w:pPr>
        <w:numPr>
          <w:ilvl w:val="1"/>
          <w:numId w:val="0"/>
        </w:numPr>
        <w:tabs>
          <w:tab w:val="left" w:pos="630"/>
        </w:tabs>
        <w:adjustRightInd w:val="0"/>
        <w:spacing w:line="312" w:lineRule="auto"/>
        <w:ind w:left="0" w:leftChars="0" w:firstLine="420" w:firstLineChars="200"/>
        <w:rPr>
          <w:rFonts w:ascii="宋体" w:hAnsi="宋体" w:eastAsia="宋体" w:cs="Times New Roman"/>
          <w:color w:val="auto"/>
          <w:sz w:val="21"/>
          <w:szCs w:val="21"/>
          <w:highlight w:val="none"/>
        </w:rPr>
      </w:pPr>
      <w:r>
        <w:rPr>
          <w:rFonts w:hint="default" w:ascii="宋体" w:hAnsi="宋体" w:eastAsia="宋体" w:cs="Times New Roman"/>
          <w:color w:val="auto"/>
          <w:kern w:val="2"/>
          <w:sz w:val="21"/>
          <w:szCs w:val="21"/>
          <w:lang w:val="en-US" w:eastAsia="zh-CN" w:bidi="ar-SA"/>
        </w:rPr>
        <w:t>（二）</w:t>
      </w:r>
      <w:r>
        <w:rPr>
          <w:rFonts w:ascii="宋体" w:hAnsi="宋体" w:eastAsia="宋体" w:cs="Times New Roman"/>
          <w:color w:val="auto"/>
          <w:sz w:val="21"/>
          <w:szCs w:val="21"/>
          <w:highlight w:val="none"/>
        </w:rPr>
        <w:t>验收</w:t>
      </w:r>
    </w:p>
    <w:p w14:paraId="5498046B">
      <w:pPr>
        <w:numPr>
          <w:ilvl w:val="0"/>
          <w:numId w:val="2"/>
        </w:numPr>
        <w:tabs>
          <w:tab w:val="left" w:pos="420"/>
          <w:tab w:val="left" w:pos="630"/>
        </w:tabs>
        <w:adjustRightInd w:val="0"/>
        <w:spacing w:line="300" w:lineRule="auto"/>
        <w:ind w:left="0" w:firstLine="420" w:firstLineChars="200"/>
        <w:textAlignment w:val="baseline"/>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甲方将按照国家及行业相关标准和招投标文件技术要求进行验收。本合同验收分为开箱验收和调试验收两部分。项目验收国家有强制性规定的，按国家规定执行，验收费用由乙方承担。检测达不到使用要求的，甲方有权无条件退货并追究乙方相关法律责任。</w:t>
      </w:r>
    </w:p>
    <w:p w14:paraId="31B251DB">
      <w:pPr>
        <w:numPr>
          <w:ilvl w:val="0"/>
          <w:numId w:val="2"/>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开箱验收</w:t>
      </w:r>
    </w:p>
    <w:p w14:paraId="6E46E290">
      <w:pPr>
        <w:tabs>
          <w:tab w:val="left" w:pos="420"/>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乙方将设备送达甲方指定地点后，双方共同就包装、外观、品牌、原厂商、产地、数量、规格型号、生产日期、使用期限、注册证、说明书等是否与本合同约定相符进行验收。若乙方所提供的设备不符合本合同的约定，甲方有权拒收并要求乙方在10日内予以更换。若乙方未能在10日内更换符合本合同约定的设备，将视同乙方无法履行本合同约定，甲方有权解除合同，并要求乙方于3日内退还甲方已支付的款项以及要求乙方承担由此给甲方造成的一切损失，同时甲方有权向乙方收取本合同总价的5%作为违约金。</w:t>
      </w:r>
    </w:p>
    <w:p w14:paraId="0AEF042D">
      <w:pPr>
        <w:tabs>
          <w:tab w:val="left" w:pos="420"/>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交货时，乙方应将项目有关的全部资料，包括产品资料、技术文档、施工图纸等，移交甲方。使用操作及安全须知等重要资料应附有中文说明。</w:t>
      </w:r>
    </w:p>
    <w:p w14:paraId="13617103">
      <w:pPr>
        <w:numPr>
          <w:ilvl w:val="0"/>
          <w:numId w:val="2"/>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调试验收</w:t>
      </w:r>
    </w:p>
    <w:p w14:paraId="185CCC0C">
      <w:pPr>
        <w:tabs>
          <w:tab w:val="left" w:pos="420"/>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乙方应在安装调试完成后及时通知甲方，并由双方相关人员共同验收，验收合格后由双方签章确认。如经验收不合格或未通过验收的，甲方有权选择无条件退货并追究相关法律责任。</w:t>
      </w:r>
    </w:p>
    <w:p w14:paraId="7B72AFD4">
      <w:pPr>
        <w:numPr>
          <w:ilvl w:val="0"/>
          <w:numId w:val="2"/>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安装调试验收完成前，相关设备均由乙方保管。在甲方最终验收合格并书面确认之前产品毁损灭失或至第三方损害的风险由乙方承担和负责赔偿。</w:t>
      </w:r>
    </w:p>
    <w:p w14:paraId="107CFF06">
      <w:pPr>
        <w:numPr>
          <w:ilvl w:val="0"/>
          <w:numId w:val="2"/>
        </w:numPr>
        <w:tabs>
          <w:tab w:val="left" w:pos="420"/>
          <w:tab w:val="left" w:pos="630"/>
        </w:tabs>
        <w:adjustRightInd w:val="0"/>
        <w:spacing w:line="312" w:lineRule="auto"/>
        <w:ind w:left="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仪器设备须有相应的操作和维保流程图表附在仪器设备上（根据甲方需要）；须免费提供该设备全套技术资料，包括但不限于：操作手册（中文纸质版或电子版）、维修手册、设备运行、安装、使用的环境要求、施工图纸及参数等。</w:t>
      </w:r>
    </w:p>
    <w:p w14:paraId="32DD50B6">
      <w:pPr>
        <w:numPr>
          <w:ilvl w:val="0"/>
          <w:numId w:val="3"/>
        </w:num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人员培训</w:t>
      </w:r>
    </w:p>
    <w:p w14:paraId="5D99E8DD">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设备安装后</w:t>
      </w:r>
      <w:r>
        <w:rPr>
          <w:rFonts w:hint="eastAsia" w:ascii="宋体" w:hAnsi="宋体" w:eastAsia="宋体" w:cs="Times New Roman"/>
          <w:color w:val="auto"/>
          <w:sz w:val="21"/>
          <w:szCs w:val="21"/>
          <w:highlight w:val="none"/>
        </w:rPr>
        <w:t>乙方</w:t>
      </w:r>
      <w:r>
        <w:rPr>
          <w:rFonts w:ascii="宋体" w:hAnsi="宋体" w:eastAsia="宋体" w:cs="Times New Roman"/>
          <w:color w:val="auto"/>
          <w:sz w:val="21"/>
          <w:szCs w:val="21"/>
          <w:highlight w:val="none"/>
        </w:rPr>
        <w:t>提供技术培训。有具体的培训内容及计划安排。</w:t>
      </w:r>
      <w:r>
        <w:rPr>
          <w:rFonts w:hint="eastAsia" w:ascii="宋体" w:hAnsi="宋体" w:eastAsia="宋体" w:cs="Times New Roman"/>
          <w:color w:val="auto"/>
          <w:sz w:val="21"/>
          <w:szCs w:val="21"/>
          <w:highlight w:val="none"/>
        </w:rPr>
        <w:t>乙方</w:t>
      </w:r>
      <w:r>
        <w:rPr>
          <w:rFonts w:ascii="宋体" w:hAnsi="宋体" w:eastAsia="宋体" w:cs="Times New Roman"/>
          <w:color w:val="auto"/>
          <w:sz w:val="21"/>
          <w:szCs w:val="21"/>
          <w:highlight w:val="none"/>
        </w:rPr>
        <w:t>须提供设备的操作使用、维护保养、技术培训，使工作人员能够独立进行常规操作和日常维护，并保证熟练程度。培训形式不限，教会为止。</w:t>
      </w:r>
      <w:r>
        <w:rPr>
          <w:rFonts w:hint="eastAsia" w:ascii="宋体" w:hAnsi="宋体" w:eastAsia="宋体" w:cs="Times New Roman"/>
          <w:color w:val="auto"/>
          <w:sz w:val="21"/>
          <w:szCs w:val="21"/>
          <w:highlight w:val="none"/>
        </w:rPr>
        <w:t>相关费用包含在合同总价中。</w:t>
      </w:r>
    </w:p>
    <w:p w14:paraId="14EC6BCC">
      <w:pPr>
        <w:tabs>
          <w:tab w:val="left" w:pos="630"/>
        </w:tabs>
        <w:adjustRightInd w:val="0"/>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乙方</w:t>
      </w:r>
      <w:r>
        <w:rPr>
          <w:rFonts w:ascii="宋体" w:hAnsi="宋体" w:eastAsia="宋体" w:cs="Times New Roman"/>
          <w:color w:val="auto"/>
          <w:sz w:val="21"/>
          <w:szCs w:val="21"/>
          <w:highlight w:val="none"/>
        </w:rPr>
        <w:t>负责至少2人的培训考核直至获取CAAC民用无人驾驶航空器操作员执照及承担相关费用</w:t>
      </w:r>
    </w:p>
    <w:p w14:paraId="2E7F199D">
      <w:pPr>
        <w:numPr>
          <w:ilvl w:val="0"/>
          <w:numId w:val="3"/>
        </w:num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质量保证和售后服务</w:t>
      </w:r>
    </w:p>
    <w:p w14:paraId="766E71CF">
      <w:pPr>
        <w:numPr>
          <w:ilvl w:val="0"/>
          <w:numId w:val="4"/>
        </w:numPr>
        <w:tabs>
          <w:tab w:val="left" w:pos="630"/>
        </w:tabs>
        <w:adjustRightInd w:val="0"/>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质量保证期：乙方提供</w:t>
      </w:r>
      <w:r>
        <w:rPr>
          <w:rFonts w:hint="eastAsia" w:ascii="宋体" w:hAnsi="宋体" w:eastAsia="宋体" w:cs="宋体"/>
          <w:color w:val="auto"/>
          <w:sz w:val="21"/>
          <w:szCs w:val="21"/>
          <w:highlight w:val="none"/>
          <w:u w:val="single"/>
        </w:rPr>
        <w:t xml:space="preserve">    </w:t>
      </w:r>
      <w:r>
        <w:rPr>
          <w:rFonts w:ascii="宋体" w:hAnsi="宋体" w:eastAsia="宋体" w:cs="宋体"/>
          <w:color w:val="auto"/>
          <w:sz w:val="21"/>
          <w:szCs w:val="21"/>
          <w:highlight w:val="none"/>
        </w:rPr>
        <w:t>设备原厂整机质保期</w:t>
      </w:r>
      <w:r>
        <w:rPr>
          <w:rFonts w:hint="eastAsia" w:ascii="宋体" w:hAnsi="宋体" w:eastAsia="宋体" w:cs="宋体"/>
          <w:color w:val="auto"/>
          <w:sz w:val="21"/>
          <w:szCs w:val="21"/>
          <w:highlight w:val="none"/>
          <w:u w:val="single"/>
        </w:rPr>
        <w:t xml:space="preserve">    </w:t>
      </w:r>
      <w:r>
        <w:rPr>
          <w:rFonts w:ascii="宋体" w:hAnsi="宋体" w:eastAsia="宋体" w:cs="宋体"/>
          <w:color w:val="auto"/>
          <w:sz w:val="21"/>
          <w:szCs w:val="21"/>
          <w:highlight w:val="none"/>
        </w:rPr>
        <w:t>年（质保开始时间以甲方的验收报告时间为准）。质保期内，设备的保养、保修服务，包括所有预防性维护和维修，原厂系统和安全必需的软硬件升级，所有服务和配件均包含在合同总价内；出现任何质量问题（人为破坏或自然灾害等不可抗力除外），乙方负责（全部工时费、材料费、管理费、保险税金等）更换或维修。</w:t>
      </w:r>
    </w:p>
    <w:p w14:paraId="6C37DB36">
      <w:pPr>
        <w:numPr>
          <w:ilvl w:val="0"/>
          <w:numId w:val="4"/>
        </w:numPr>
        <w:tabs>
          <w:tab w:val="left" w:pos="630"/>
        </w:tabs>
        <w:adjustRightInd w:val="0"/>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质保期后，终身维修，提供原厂零部件供应，按成本价收取配件费用。</w:t>
      </w:r>
    </w:p>
    <w:p w14:paraId="6E41258B">
      <w:pPr>
        <w:numPr>
          <w:ilvl w:val="0"/>
          <w:numId w:val="4"/>
        </w:numPr>
        <w:tabs>
          <w:tab w:val="left" w:pos="630"/>
        </w:tabs>
        <w:adjustRightInd w:val="0"/>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维修响应时间：提供7*24小时（全年365天）故障受理和技术支持服务。接到院方故障报修通知后2小时内响应，提供技术支持，紧急故障24小时内派专业维修人员到达现场维修。一般问题应在72小时内解决。若在约定的时间内不能排除故障，则应提供备用设备，或由院方采取必要的补救措施，但风险和费用将由乙方承担。因仪器故障停用的时间，质保期累计相应顺延。</w:t>
      </w:r>
    </w:p>
    <w:p w14:paraId="412DB18D">
      <w:pPr>
        <w:numPr>
          <w:ilvl w:val="0"/>
          <w:numId w:val="4"/>
        </w:numPr>
        <w:tabs>
          <w:tab w:val="left" w:pos="630"/>
        </w:tabs>
        <w:adjustRightInd w:val="0"/>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提供售后人员现场服务联系方式或远程连线售后服务方式。</w:t>
      </w:r>
    </w:p>
    <w:p w14:paraId="2AF2FD06">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地址： </w:t>
      </w:r>
    </w:p>
    <w:p w14:paraId="4652921E">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联系人及联系方式： </w:t>
      </w:r>
    </w:p>
    <w:p w14:paraId="487320D9">
      <w:pPr>
        <w:numPr>
          <w:ilvl w:val="0"/>
          <w:numId w:val="4"/>
        </w:numPr>
        <w:tabs>
          <w:tab w:val="left" w:pos="630"/>
        </w:tabs>
        <w:adjustRightInd w:val="0"/>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本合同中因质量问题而引发的争议，由乙方负责提供相应的书面质量检测报告，质量检测报告必须由甲方所在地国家认可的产品质量监督检验机构出具，同时甲方保留自行委托第三方检验检测机构进行质量再检测的权利。</w:t>
      </w:r>
    </w:p>
    <w:p w14:paraId="4F470B3D">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八、货款结算方式</w:t>
      </w:r>
    </w:p>
    <w:p w14:paraId="7E44F81F">
      <w:pPr>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签订后，凭甲方签署认可的付款资料（包括设备全额的合格发票、合同原件、纸质保函原件（或电子保函及查验单截图）等相关资料）按甲方财务规定程序办理付款事宜。支付方式：票据结算或转账支付。甲方在收到乙方提供的合格全额增值税发票及期限为12个月、金额为合同金额90%的银行履约保函后,向乙方方支付合同金额的90%；收到乙方出具的期限为质保期限+交货验收期、金额为合同金额的10%的银行履约保函后，甲方向乙方支付合同金额的10%的货款。</w:t>
      </w:r>
    </w:p>
    <w:p w14:paraId="5B803E89">
      <w:pPr>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备验收合格入库次月后，设备运行无产品质量和维修问题，凭甲方签署认可的资料（包括设备全额的合格发票、合同、验收单等相关资料），经甲方同意乙方可撤销90%的银行履约保函，质保期到期后，凭甲方签署认可的资料（包括设备结算申请单、合同关键页、无质量问题报告等相关资料），经甲方同意乙方可撤销10%的银行履约保函，如因甲方原因或不可抗力因素，乙方不能到期履约，双方需重新约定合同履约期限或暂行退回货款；如重新约定合同履约期限，乙方应依据重新约定的合同履约时间出具银行履约；质保期满后经甲方同意方可撤销质保保函。</w:t>
      </w:r>
    </w:p>
    <w:p w14:paraId="1F7C2744">
      <w:pPr>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因乙方提供的发票不符合税务规定给甲方造成的损失，乙方应承担全部赔偿责任（包括但不限于税款、滞纳金、税务罚款等）。</w:t>
      </w:r>
    </w:p>
    <w:p w14:paraId="1FDFB06D">
      <w:pPr>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支付合同价款时，甲方一律不向乙方以外任何第三方办理付款手续。开户行和账户以合同为准。乙方开具发票上的开户行和账号必须与合同一致，且能接收电子票据和转账支票；如果乙方要求变更，则乙方必须提供工商变更函，注销证明并加盖财务专章，法定代表人签字盖章的证明文件，报甲方审查核准。如乙方提供账户信息未开通电子票据，一切后果由乙方负责。</w:t>
      </w:r>
    </w:p>
    <w:p w14:paraId="18F69614">
      <w:pPr>
        <w:spacing w:line="312"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乙方账户信息：</w:t>
      </w:r>
    </w:p>
    <w:p w14:paraId="7CDC122E">
      <w:pPr>
        <w:tabs>
          <w:tab w:val="left" w:pos="420"/>
          <w:tab w:val="left" w:pos="630"/>
        </w:tabs>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 xml:space="preserve">乙方开户名称： </w:t>
      </w:r>
    </w:p>
    <w:p w14:paraId="123A88B1">
      <w:pPr>
        <w:tabs>
          <w:tab w:val="left" w:pos="420"/>
          <w:tab w:val="left" w:pos="630"/>
        </w:tabs>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 xml:space="preserve">乙方开户行： </w:t>
      </w:r>
    </w:p>
    <w:p w14:paraId="239A52CD">
      <w:pPr>
        <w:tabs>
          <w:tab w:val="left" w:pos="420"/>
          <w:tab w:val="left" w:pos="630"/>
        </w:tabs>
        <w:spacing w:line="312" w:lineRule="auto"/>
        <w:ind w:firstLine="420" w:firstLineChars="200"/>
        <w:rPr>
          <w:rFonts w:ascii="宋体" w:hAnsi="宋体" w:eastAsia="宋体" w:cs="宋体"/>
          <w:color w:val="auto"/>
          <w:sz w:val="21"/>
          <w:szCs w:val="21"/>
          <w:highlight w:val="none"/>
        </w:rPr>
      </w:pPr>
      <w:r>
        <w:rPr>
          <w:rFonts w:ascii="宋体" w:hAnsi="宋体" w:eastAsia="宋体" w:cs="宋体"/>
          <w:color w:val="auto"/>
          <w:sz w:val="21"/>
          <w:szCs w:val="21"/>
          <w:highlight w:val="none"/>
        </w:rPr>
        <w:t>乙方开户银行行号：</w:t>
      </w:r>
    </w:p>
    <w:p w14:paraId="196F8D08">
      <w:pPr>
        <w:tabs>
          <w:tab w:val="left" w:pos="420"/>
          <w:tab w:val="left" w:pos="630"/>
        </w:tabs>
        <w:spacing w:line="312" w:lineRule="auto"/>
        <w:ind w:firstLine="420" w:firstLineChars="200"/>
        <w:rPr>
          <w:rFonts w:ascii="宋体" w:hAnsi="宋体" w:eastAsia="宋体" w:cs="Times New Roman"/>
          <w:color w:val="auto"/>
          <w:sz w:val="21"/>
          <w:szCs w:val="21"/>
          <w:highlight w:val="none"/>
        </w:rPr>
      </w:pPr>
      <w:r>
        <w:rPr>
          <w:rFonts w:ascii="宋体" w:hAnsi="宋体" w:eastAsia="宋体" w:cs="宋体"/>
          <w:color w:val="auto"/>
          <w:sz w:val="21"/>
          <w:szCs w:val="21"/>
          <w:highlight w:val="none"/>
        </w:rPr>
        <w:t xml:space="preserve">银行账号： </w:t>
      </w:r>
    </w:p>
    <w:p w14:paraId="5F847026">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九、违约责任</w:t>
      </w:r>
    </w:p>
    <w:p w14:paraId="6E711AED">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1、合同签订后，如有一方违约自行终止合同，违约方以合同总价款的5%作为违约金,给对方进行赔偿,并承担因违约给对方造成的经济损失。</w:t>
      </w:r>
    </w:p>
    <w:p w14:paraId="5A7B6C33">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2、出现欺诈、以次充好、提供已临近失效期的设备等行为的，乙方应向甲方支付合同总金额的5%违约金，并全额赔偿甲方的经济损失，同时甲方有权追究乙方的法律责任。</w:t>
      </w:r>
    </w:p>
    <w:p w14:paraId="0C1DF69B">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3、延期交货：误期赔偿费按每延期一周收取合同总价款的0.5%，但误期赔偿费的最高限额不超过合同价的5%。一旦达到最高限额，甲方可以终止合同，并另向第三方进行采购，且甲方不承担任何违约责任，乙方应返还甲方已支付的款项，同时承担由此给甲方造成的其他损失。</w:t>
      </w:r>
    </w:p>
    <w:p w14:paraId="56053A32">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4、乙方人员在设备安装调试工作期间因故意或过失致使甲方或甲方工作人员或第三人财产损失、人身损害的，由乙方承担一切赔偿责任。</w:t>
      </w:r>
    </w:p>
    <w:p w14:paraId="45D97392">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5、乙方应保证其所提供的全部资料和证明文件合法、真实、有效，否则乙方应按本合同总价的5%向甲方支付违约金，同时由乙方承担由此给甲方造成的一切损失。</w:t>
      </w:r>
    </w:p>
    <w:p w14:paraId="103CCBED">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6、除甲方事先书面同意外，乙方不得部分或全部转让其应履行的合同义务。否则，甲方有权单方解除本合同，乙方应在本合同解除后3日内退还甲方已支付的款项，并按本合同总价的5%向甲方支付违约金，同时承担由此给甲方造成的一切损失。</w:t>
      </w:r>
    </w:p>
    <w:p w14:paraId="715865C3">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7、本合同下的所有违约金以及损失赔偿款等，甲方均有权从本合同总价中直接扣除，同时甲方有权根据本合同的相关约定向乙方提出不足部分的赔偿。除另有说明外，本合同下所指损失包括但不限于直接损失、可得利益损失、财产保全费用、担保费、诉讼费、律师费等。</w:t>
      </w:r>
    </w:p>
    <w:p w14:paraId="7D527562">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8、不可抗力</w:t>
      </w:r>
    </w:p>
    <w:p w14:paraId="2A6EDCF9">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本合同所指不可抗力是指战争、火灾、洪水、台风、地震及其他不能预见、不能避免并不能克服且经双方认定的客观事项或情况。</w:t>
      </w:r>
    </w:p>
    <w:p w14:paraId="18DE6615">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甲乙双方中任何一方由于不可抗力影响合同约定的履行时，应在3日内以书面形式将不可抗力的事实、原因等通知另一方，并应同时提交相关的证明文件。</w:t>
      </w:r>
    </w:p>
    <w:p w14:paraId="50726B16">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受不可抗力影响一方仍有责任采取必要的措施按时履行本合同的约定，同时双方应就继续履行本合同约定进行协商，并约定自提交不可抗力书面证明文件起10日内本合同下所有约定应履行完毕。</w:t>
      </w:r>
    </w:p>
    <w:p w14:paraId="42CA73A9">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确因不可抗力致使本合同目的无法实现的，经甲乙双方协商一致，可以解除本合同，由此造成的全部损失由甲乙双方协商承担。</w:t>
      </w:r>
    </w:p>
    <w:p w14:paraId="6A06015B">
      <w:pPr>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除双方另有约定外，在不可抗力消除后，甲乙双方应继续履行本合同约定。</w:t>
      </w:r>
    </w:p>
    <w:p w14:paraId="4E799C48">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十、合同争议的解决方式</w:t>
      </w:r>
    </w:p>
    <w:p w14:paraId="4BE5829C">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本合同在履行中发生的争议，由双方协商解决，协商不一致的，双方同意向甲方住所地人民法院提出诉讼解决。</w:t>
      </w:r>
    </w:p>
    <w:p w14:paraId="7CD1A304">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十一、合同生效及其他</w:t>
      </w:r>
    </w:p>
    <w:p w14:paraId="5800268B">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1、本合同由甲乙双方法定代表或委托代理人签字且盖章之日起生效。甲方指定XXX作为本合同履行期间的联系人（联系电话：XX）。乙方指定</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作为乙方委托代理人和本合同履行期间的联系人（身份证：</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，职务：</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，联系电话：</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在本合同履行期间全权负责与甲方的接洽事务，该委托代理人（联系人）的行为、意思表示及对甲方所作的任何承诺、通知等均对乙方具有直接约束力；甲方通知送达该委托代理人（联系人）时，即视为通知送达乙方。乙方指定的委托代理人、联系人的任何信息发生变化的，应提前 5天书面通知甲方，否则相关送达的不利后果及责任，由乙方自行承担。</w:t>
      </w:r>
    </w:p>
    <w:p w14:paraId="580D34D8">
      <w:pPr>
        <w:tabs>
          <w:tab w:val="left" w:pos="630"/>
        </w:tabs>
        <w:adjustRightInd w:val="0"/>
        <w:spacing w:line="312" w:lineRule="auto"/>
        <w:ind w:firstLine="420" w:firstLineChars="200"/>
        <w:jc w:val="lef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2、本合同一式</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份，甲方执三份，乙方执</w:t>
      </w:r>
      <w:r>
        <w:rPr>
          <w:rFonts w:ascii="宋体" w:hAnsi="宋体" w:eastAsia="宋体" w:cs="宋体"/>
          <w:color w:val="auto"/>
          <w:kern w:val="0"/>
          <w:sz w:val="21"/>
          <w:szCs w:val="21"/>
          <w:highlight w:val="none"/>
        </w:rPr>
        <w:t>XX</w:t>
      </w:r>
      <w:r>
        <w:rPr>
          <w:rFonts w:ascii="宋体" w:hAnsi="宋体" w:eastAsia="宋体" w:cs="Times New Roman"/>
          <w:color w:val="auto"/>
          <w:sz w:val="21"/>
          <w:szCs w:val="21"/>
          <w:highlight w:val="none"/>
        </w:rPr>
        <w:t>份。招投标文件、谈判议价文件、合同附件、补充协议、投标人书面承诺等均为本合同不可分割的组成部分，均与本合同具有同等法律效力。</w:t>
      </w:r>
    </w:p>
    <w:p w14:paraId="247ABE04">
      <w:pPr>
        <w:tabs>
          <w:tab w:val="left" w:pos="630"/>
        </w:tabs>
        <w:adjustRightInd w:val="0"/>
        <w:spacing w:line="312" w:lineRule="auto"/>
        <w:ind w:firstLine="420" w:firstLineChars="200"/>
        <w:jc w:val="lef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3、双方因本合同所知悉的对方信息、商业秘密承担保密义务。未经对方同意，不得以任何形式泄露给第三方或使用。</w:t>
      </w:r>
    </w:p>
    <w:p w14:paraId="7D6B86ED">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4、乙方承担所派出人员的安全生产管理、劳资管理、人身安全物责任。</w:t>
      </w:r>
    </w:p>
    <w:p w14:paraId="65CDB706">
      <w:pPr>
        <w:tabs>
          <w:tab w:val="left" w:pos="630"/>
        </w:tabs>
        <w:adjustRightInd w:val="0"/>
        <w:spacing w:line="312"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5、合同未尽事宜双方协商解决。</w:t>
      </w:r>
    </w:p>
    <w:p w14:paraId="03A98E27">
      <w:pPr>
        <w:tabs>
          <w:tab w:val="left" w:pos="630"/>
        </w:tabs>
        <w:adjustRightInd w:val="0"/>
        <w:spacing w:line="312" w:lineRule="auto"/>
        <w:ind w:firstLine="422" w:firstLineChars="200"/>
        <w:rPr>
          <w:rFonts w:ascii="宋体" w:hAnsi="宋体" w:eastAsia="宋体" w:cs="Times New Roman"/>
          <w:b/>
          <w:color w:val="auto"/>
          <w:sz w:val="21"/>
          <w:szCs w:val="21"/>
          <w:highlight w:val="none"/>
        </w:rPr>
      </w:pPr>
      <w:r>
        <w:rPr>
          <w:rFonts w:ascii="宋体" w:hAnsi="宋体" w:eastAsia="宋体" w:cs="Times New Roman"/>
          <w:b/>
          <w:color w:val="auto"/>
          <w:sz w:val="21"/>
          <w:szCs w:val="21"/>
          <w:highlight w:val="none"/>
        </w:rPr>
        <w:t>十二、合同附件</w:t>
      </w:r>
    </w:p>
    <w:p w14:paraId="61DD24D7">
      <w:pPr>
        <w:spacing w:after="120" w:line="312" w:lineRule="auto"/>
        <w:ind w:firstLine="420" w:firstLineChars="200"/>
        <w:rPr>
          <w:rFonts w:ascii="宋体" w:hAnsi="宋体" w:eastAsia="宋体" w:cs="宋体"/>
          <w:color w:val="auto"/>
          <w:sz w:val="21"/>
          <w:szCs w:val="21"/>
          <w:highlight w:val="none"/>
        </w:rPr>
      </w:pPr>
      <w:bookmarkStart w:id="2" w:name="_Hlk183010233"/>
      <w:r>
        <w:rPr>
          <w:rFonts w:ascii="宋体" w:hAnsi="宋体" w:eastAsia="宋体" w:cs="宋体"/>
          <w:color w:val="auto"/>
          <w:sz w:val="21"/>
          <w:szCs w:val="21"/>
          <w:highlight w:val="none"/>
        </w:rPr>
        <w:t>附件一 配置清单</w:t>
      </w:r>
    </w:p>
    <w:bookmarkEnd w:id="2"/>
    <w:p w14:paraId="1F5AD2BF">
      <w:pPr>
        <w:spacing w:line="336" w:lineRule="auto"/>
        <w:rPr>
          <w:rFonts w:ascii="宋体" w:hAnsi="宋体" w:eastAsia="宋体" w:cs="宋体"/>
          <w:color w:val="auto"/>
          <w:sz w:val="21"/>
          <w:szCs w:val="21"/>
          <w:highlight w:val="none"/>
        </w:rPr>
      </w:pPr>
    </w:p>
    <w:p w14:paraId="63386A52">
      <w:pPr>
        <w:spacing w:line="336" w:lineRule="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甲方(盖章)：湖南省职业病防治院  </w:t>
      </w:r>
      <w:r>
        <w:rPr>
          <w:rFonts w:ascii="宋体" w:hAnsi="宋体" w:eastAsia="宋体" w:cs="Times New Roman"/>
          <w:color w:val="auto"/>
          <w:spacing w:val="-11"/>
          <w:sz w:val="21"/>
          <w:szCs w:val="21"/>
          <w:highlight w:val="none"/>
        </w:rPr>
        <w:t xml:space="preserve">乙方(盖章)： </w:t>
      </w:r>
      <w:r>
        <w:rPr>
          <w:rFonts w:ascii="宋体" w:hAnsi="宋体" w:eastAsia="宋体" w:cs="宋体"/>
          <w:color w:val="auto"/>
          <w:kern w:val="0"/>
          <w:sz w:val="21"/>
          <w:szCs w:val="21"/>
          <w:highlight w:val="none"/>
        </w:rPr>
        <w:t>XX</w:t>
      </w:r>
    </w:p>
    <w:p w14:paraId="588E820C">
      <w:pPr>
        <w:tabs>
          <w:tab w:val="left" w:pos="630"/>
        </w:tabs>
        <w:spacing w:line="360" w:lineRule="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法定代表人：                     法定代表人： </w:t>
      </w:r>
    </w:p>
    <w:p w14:paraId="6FA62A48">
      <w:pPr>
        <w:tabs>
          <w:tab w:val="left" w:pos="630"/>
        </w:tabs>
        <w:spacing w:line="360" w:lineRule="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委托代理人：                     委托代理人： </w:t>
      </w:r>
    </w:p>
    <w:p w14:paraId="12BAB911">
      <w:pPr>
        <w:tabs>
          <w:tab w:val="left" w:pos="630"/>
        </w:tabs>
        <w:spacing w:line="360" w:lineRule="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联系电话：                       联系电话： </w:t>
      </w:r>
    </w:p>
    <w:p w14:paraId="2C09DFB8">
      <w:pPr>
        <w:tabs>
          <w:tab w:val="left" w:pos="630"/>
        </w:tabs>
        <w:adjustRightInd w:val="0"/>
        <w:spacing w:line="312"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统一社会信用代码：               统一社会信用代码：</w:t>
      </w:r>
    </w:p>
    <w:p w14:paraId="2EEA5FA5">
      <w:pPr>
        <w:tabs>
          <w:tab w:val="left" w:pos="630"/>
        </w:tabs>
        <w:adjustRightInd w:val="0"/>
        <w:spacing w:line="360"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 xml:space="preserve">1243000044487661XH               </w:t>
      </w:r>
      <w:r>
        <w:rPr>
          <w:rFonts w:ascii="宋体" w:hAnsi="宋体" w:eastAsia="宋体" w:cs="宋体"/>
          <w:color w:val="auto"/>
          <w:kern w:val="0"/>
          <w:sz w:val="21"/>
          <w:szCs w:val="21"/>
          <w:highlight w:val="none"/>
        </w:rPr>
        <w:t xml:space="preserve"> XX </w:t>
      </w:r>
    </w:p>
    <w:p w14:paraId="0B87F626">
      <w:pPr>
        <w:tabs>
          <w:tab w:val="left" w:pos="630"/>
        </w:tabs>
        <w:spacing w:line="360" w:lineRule="auto"/>
        <w:rPr>
          <w:rFonts w:ascii="Times New Roman" w:hAnsi="Times New Roman" w:eastAsia="宋体" w:cs="Times New Roman"/>
          <w:color w:val="auto"/>
          <w:sz w:val="21"/>
          <w:szCs w:val="21"/>
          <w:highlight w:val="none"/>
        </w:rPr>
      </w:pPr>
      <w:r>
        <w:rPr>
          <w:rFonts w:ascii="宋体" w:hAnsi="宋体" w:eastAsia="宋体" w:cs="Times New Roman"/>
          <w:color w:val="auto"/>
          <w:sz w:val="21"/>
          <w:szCs w:val="21"/>
          <w:highlight w:val="none"/>
        </w:rPr>
        <w:t>合同签订日期：2026年</w:t>
      </w:r>
      <w:r>
        <w:rPr>
          <w:rFonts w:ascii="宋体" w:hAnsi="宋体" w:eastAsia="宋体" w:cs="宋体"/>
          <w:color w:val="auto"/>
          <w:sz w:val="21"/>
          <w:szCs w:val="21"/>
          <w:highlight w:val="none"/>
        </w:rPr>
        <w:t xml:space="preserve"> </w:t>
      </w:r>
      <w:r>
        <w:rPr>
          <w:rFonts w:ascii="宋体" w:hAnsi="宋体" w:eastAsia="宋体" w:cs="Times New Roman"/>
          <w:color w:val="auto"/>
          <w:sz w:val="21"/>
          <w:szCs w:val="21"/>
          <w:highlight w:val="none"/>
        </w:rPr>
        <w:t>月</w:t>
      </w:r>
      <w:r>
        <w:rPr>
          <w:rFonts w:ascii="宋体" w:hAnsi="宋体" w:eastAsia="宋体" w:cs="宋体"/>
          <w:color w:val="auto"/>
          <w:sz w:val="21"/>
          <w:szCs w:val="21"/>
          <w:highlight w:val="none"/>
        </w:rPr>
        <w:t xml:space="preserve">  </w:t>
      </w:r>
      <w:r>
        <w:rPr>
          <w:rFonts w:ascii="宋体" w:hAnsi="宋体" w:eastAsia="宋体" w:cs="Times New Roman"/>
          <w:color w:val="auto"/>
          <w:sz w:val="21"/>
          <w:szCs w:val="21"/>
          <w:highlight w:val="none"/>
        </w:rPr>
        <w:t>日</w:t>
      </w:r>
    </w:p>
    <w:p w14:paraId="73FA1760"/>
    <w:sectPr>
      <w:footerReference r:id="rId3" w:type="default"/>
      <w:pgSz w:w="11906" w:h="16838"/>
      <w:pgMar w:top="1440" w:right="1134" w:bottom="1440"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4D88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47DEF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847DEF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7A0B"/>
    <w:multiLevelType w:val="singleLevel"/>
    <w:tmpl w:val="BF2D7A0B"/>
    <w:lvl w:ilvl="0" w:tentative="0">
      <w:start w:val="6"/>
      <w:numFmt w:val="chineseCounting"/>
      <w:suff w:val="nothing"/>
      <w:lvlText w:val="%1、"/>
      <w:lvlJc w:val="left"/>
      <w:rPr>
        <w:rFonts w:hint="eastAsia"/>
      </w:rPr>
    </w:lvl>
  </w:abstractNum>
  <w:abstractNum w:abstractNumId="1">
    <w:nsid w:val="0D7743BF"/>
    <w:multiLevelType w:val="multilevel"/>
    <w:tmpl w:val="0D7743BF"/>
    <w:lvl w:ilvl="0" w:tentative="0">
      <w:start w:val="1"/>
      <w:numFmt w:val="decimal"/>
      <w:suff w:val="nothing"/>
      <w:lvlText w:val="%1、"/>
      <w:lvlJc w:val="left"/>
      <w:pPr>
        <w:ind w:left="842"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15725A2A"/>
    <w:multiLevelType w:val="multilevel"/>
    <w:tmpl w:val="15725A2A"/>
    <w:lvl w:ilvl="0" w:tentative="0">
      <w:start w:val="1"/>
      <w:numFmt w:val="decimal"/>
      <w:suff w:val="nothing"/>
      <w:lvlText w:val="%1、"/>
      <w:lvlJc w:val="left"/>
      <w:pPr>
        <w:ind w:left="842"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438E5503"/>
    <w:multiLevelType w:val="multilevel"/>
    <w:tmpl w:val="438E5503"/>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D06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 2_0"/>
    <w:next w:val="8"/>
    <w:unhideWhenUsed/>
    <w:qFormat/>
    <w:uiPriority w:val="0"/>
    <w:pPr>
      <w:keepNext/>
      <w:keepLines/>
      <w:widowControl w:val="0"/>
      <w:spacing w:line="360" w:lineRule="auto"/>
      <w:jc w:val="both"/>
      <w:outlineLvl w:val="1"/>
    </w:pPr>
    <w:rPr>
      <w:rFonts w:ascii="Arial" w:hAnsi="Arial" w:eastAsia="宋体" w:cs="Times New Roman"/>
      <w:b/>
      <w:bCs/>
      <w:kern w:val="2"/>
      <w:sz w:val="24"/>
      <w:szCs w:val="32"/>
      <w:lang w:val="en-US" w:eastAsia="zh-CN" w:bidi="ar-SA"/>
    </w:rPr>
  </w:style>
  <w:style w:type="paragraph" w:customStyle="1" w:styleId="8">
    <w:name w:val="正文_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2026-07-30T12:39:12Z</dcterms:created>
  <dc:creator>hnzt</dc:creator>
  <cp:lastModifiedBy>可乐</cp:lastModifiedBy>
  <dcterms:modified xsi:type="dcterms:W3CDTF">2026-07-30T12:39:43Z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eyJoZGlkIjoiZjcyOTEyNWYwZmY1NWVkNzgxODFmYmNmY2VlMDVhYjUiLCJ1c2VySWQiOiI0MjAyMzYxOTAifQ==</vt:lpwstr>
  </property>
  <property fmtid="{D5CDD505-2E9C-101B-9397-08002B2CF9AE}" pid="4" name="ICV">
    <vt:lpwstr>C099DA8912804DA1AC7A11B413F0A246_12</vt:lpwstr>
  </property>
</Properties>
</file>