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A86E">
      <w:pPr>
        <w:pStyle w:val="4"/>
        <w:jc w:val="both"/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</w:pPr>
      <w:r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  <w:t>安全管理方案</w:t>
      </w:r>
    </w:p>
    <w:p w14:paraId="016E2951">
      <w:pPr>
        <w:pStyle w:val="4"/>
        <w:jc w:val="both"/>
      </w:pPr>
      <w:r>
        <w:rPr>
          <w:rFonts w:hint="eastAsia" w:eastAsiaTheme="minorEastAsia"/>
          <w:lang w:eastAsia="zh-CN"/>
        </w:rPr>
        <w:t>（</w:t>
      </w:r>
      <w:r>
        <w:rPr>
          <w:rFonts w:hint="eastAsia" w:asciiTheme="minorHAnsi" w:eastAsiaTheme="minorEastAsia"/>
          <w:lang w:val="en-US" w:eastAsia="zh-CN"/>
        </w:rPr>
        <w:t>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EF2970"/>
    <w:rsid w:val="67EF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2026-07-28T09:06:00Z</dcterms:created>
  <dc:creator>Administrator</dc:creator>
  <cp:lastModifiedBy>Administrator</cp:lastModifiedBy>
  <dcterms:modified xsi:type="dcterms:W3CDTF">2026-07-28T09:06:52Z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309A378582B74616BD98EB132CCF9FF8_11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