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637DC">
      <w:pPr>
        <w:widowControl w:val="0"/>
        <w:adjustRightInd w:val="0"/>
        <w:snapToGrid w:val="0"/>
        <w:spacing w:line="360" w:lineRule="auto"/>
        <w:jc w:val="center"/>
        <w:outlineLvl w:val="0"/>
        <w:rPr>
          <w:rFonts w:hint="eastAsia" w:ascii="黑体" w:hAnsi="华文中宋" w:eastAsia="黑体" w:cs="Courier New"/>
          <w:b/>
          <w:kern w:val="2"/>
          <w:sz w:val="32"/>
          <w:szCs w:val="32"/>
          <w:lang w:val="en-US" w:eastAsia="zh-CN" w:bidi="ar-SA"/>
        </w:rPr>
      </w:pPr>
      <w:r>
        <w:rPr>
          <w:rFonts w:hint="eastAsia" w:ascii="黑体" w:hAnsi="华文中宋" w:eastAsia="黑体" w:cs="Courier New"/>
          <w:b/>
          <w:kern w:val="2"/>
          <w:sz w:val="32"/>
          <w:szCs w:val="32"/>
          <w:lang w:val="en-US" w:eastAsia="zh-CN" w:bidi="ar-SA"/>
        </w:rPr>
        <w:t>政府采购合同</w:t>
      </w:r>
    </w:p>
    <w:p w14:paraId="5E1F1F10">
      <w:pPr>
        <w:rPr>
          <w:rFonts w:ascii="Calibri" w:hAnsi="Calibri"/>
        </w:rPr>
      </w:pPr>
    </w:p>
    <w:p w14:paraId="6AE18D70">
      <w:pPr>
        <w:keepNext/>
        <w:keepLines/>
        <w:widowControl w:val="0"/>
        <w:adjustRightInd w:val="0"/>
        <w:snapToGrid w:val="0"/>
        <w:spacing w:line="360" w:lineRule="auto"/>
        <w:jc w:val="center"/>
        <w:outlineLvl w:val="1"/>
        <w:rPr>
          <w:rFonts w:ascii="黑体" w:hAnsi="华文中宋" w:eastAsia="黑体" w:cs="Times New Roman"/>
          <w:b/>
          <w:bCs/>
          <w:kern w:val="2"/>
          <w:sz w:val="28"/>
          <w:szCs w:val="28"/>
          <w:lang w:val="en-US" w:eastAsia="zh-CN" w:bidi="ar-SA"/>
        </w:rPr>
      </w:pPr>
      <w:bookmarkStart w:id="0" w:name="_Toc29913945"/>
      <w:bookmarkStart w:id="1" w:name="_Toc256000046"/>
      <w:r>
        <w:rPr>
          <w:rFonts w:hint="eastAsia" w:ascii="黑体" w:hAnsi="华文中宋" w:eastAsia="黑体" w:cs="Times New Roman"/>
          <w:b/>
          <w:bCs/>
          <w:kern w:val="2"/>
          <w:sz w:val="28"/>
          <w:szCs w:val="28"/>
          <w:lang w:val="en-US" w:eastAsia="zh-CN" w:bidi="ar-SA"/>
        </w:rPr>
        <w:t>第一节 政府采购合同协议书</w:t>
      </w:r>
      <w:bookmarkEnd w:id="0"/>
      <w:bookmarkEnd w:id="1"/>
    </w:p>
    <w:p w14:paraId="0FFDE3DB">
      <w:pPr>
        <w:widowControl w:val="0"/>
        <w:adjustRightInd w:val="0"/>
        <w:snapToGrid w:val="0"/>
        <w:spacing w:before="156" w:beforeLines="50" w:line="360" w:lineRule="auto"/>
        <w:ind w:firstLine="5460" w:firstLineChars="2600"/>
        <w:jc w:val="both"/>
        <w:rPr>
          <w:rFonts w:hint="eastAsia" w:ascii="宋体" w:hAnsi="宋体" w:eastAsia="宋体" w:cs="Times New Roman"/>
          <w:b/>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采购合同编号：</w:t>
      </w:r>
      <w:r>
        <w:rPr>
          <w:rFonts w:hint="eastAsia" w:ascii="宋体" w:hAnsi="宋体" w:eastAsia="宋体" w:cs="Times New Roman"/>
          <w:color w:val="000000"/>
          <w:kern w:val="2"/>
          <w:sz w:val="21"/>
          <w:szCs w:val="21"/>
          <w:u w:val="single"/>
          <w:lang w:val="en-US" w:eastAsia="zh-CN" w:bidi="ar-SA"/>
        </w:rPr>
        <w:t xml:space="preserve">                 </w:t>
      </w:r>
    </w:p>
    <w:p w14:paraId="6E61BD1B">
      <w:pPr>
        <w:widowControl w:val="0"/>
        <w:adjustRightInd w:val="0"/>
        <w:snapToGrid w:val="0"/>
        <w:spacing w:before="156" w:beforeLines="50" w:line="360" w:lineRule="auto"/>
        <w:jc w:val="center"/>
        <w:rPr>
          <w:rFonts w:hint="eastAsia" w:ascii="宋体" w:hAnsi="宋体" w:eastAsia="宋体" w:cs="Times New Roman"/>
          <w:b/>
          <w:color w:val="000000"/>
          <w:kern w:val="2"/>
          <w:sz w:val="21"/>
          <w:szCs w:val="21"/>
          <w:lang w:val="en-US" w:eastAsia="zh-CN" w:bidi="ar-SA"/>
        </w:rPr>
      </w:pPr>
    </w:p>
    <w:p w14:paraId="7BF86972">
      <w:pPr>
        <w:adjustRightInd w:val="0"/>
        <w:snapToGrid w:val="0"/>
        <w:spacing w:before="156" w:beforeLines="50"/>
        <w:rPr>
          <w:rFonts w:ascii="宋体" w:hAnsi="宋体" w:eastAsia="宋体" w:cs="Times New Roman"/>
          <w:color w:val="000000"/>
          <w:sz w:val="21"/>
          <w:szCs w:val="21"/>
          <w:highlight w:val="none"/>
        </w:rPr>
      </w:pPr>
      <w:r>
        <w:rPr>
          <w:rFonts w:ascii="宋体" w:hAnsi="宋体" w:eastAsia="宋体" w:cs="Times New Roman"/>
          <w:b/>
          <w:color w:val="000000"/>
          <w:sz w:val="21"/>
          <w:szCs w:val="21"/>
          <w:highlight w:val="none"/>
        </w:rPr>
        <w:t>甲方：湖南省职业病防治院</w:t>
      </w:r>
    </w:p>
    <w:p w14:paraId="082E19F1">
      <w:pPr>
        <w:adjustRightInd w:val="0"/>
        <w:snapToGrid w:val="0"/>
        <w:spacing w:before="156" w:beforeLines="50"/>
        <w:rPr>
          <w:rFonts w:ascii="宋体" w:hAnsi="宋体" w:eastAsia="宋体" w:cs="Times New Roman"/>
          <w:sz w:val="21"/>
          <w:szCs w:val="21"/>
          <w:highlight w:val="none"/>
        </w:rPr>
      </w:pPr>
      <w:r>
        <w:rPr>
          <w:rFonts w:ascii="宋体" w:hAnsi="宋体" w:eastAsia="宋体" w:cs="Times New Roman"/>
          <w:color w:val="000000"/>
          <w:sz w:val="21"/>
          <w:szCs w:val="21"/>
          <w:highlight w:val="none"/>
        </w:rPr>
        <w:t>地址：长沙市雨</w:t>
      </w:r>
      <w:r>
        <w:rPr>
          <w:rFonts w:ascii="宋体" w:hAnsi="宋体" w:eastAsia="宋体" w:cs="Times New Roman"/>
          <w:sz w:val="21"/>
          <w:szCs w:val="21"/>
          <w:highlight w:val="none"/>
        </w:rPr>
        <w:t>花区雨花路21号</w:t>
      </w:r>
    </w:p>
    <w:p w14:paraId="3F04FE4C">
      <w:pPr>
        <w:adjustRightInd w:val="0"/>
        <w:snapToGrid w:val="0"/>
        <w:spacing w:before="156" w:beforeLines="50"/>
        <w:rPr>
          <w:rFonts w:ascii="宋体" w:hAnsi="宋体" w:eastAsia="宋体" w:cs="Times New Roman"/>
          <w:b/>
          <w:sz w:val="21"/>
          <w:szCs w:val="21"/>
          <w:highlight w:val="none"/>
        </w:rPr>
      </w:pPr>
      <w:r>
        <w:rPr>
          <w:rFonts w:ascii="宋体" w:hAnsi="宋体" w:eastAsia="宋体" w:cs="Times New Roman"/>
          <w:b/>
          <w:sz w:val="21"/>
          <w:szCs w:val="21"/>
          <w:highlight w:val="none"/>
        </w:rPr>
        <w:t>乙方：</w:t>
      </w:r>
    </w:p>
    <w:p w14:paraId="677521C4">
      <w:pPr>
        <w:tabs>
          <w:tab w:val="left" w:pos="630"/>
        </w:tabs>
        <w:adjustRightInd w:val="0"/>
        <w:spacing w:line="480" w:lineRule="exact"/>
        <w:rPr>
          <w:rFonts w:ascii="宋体" w:hAnsi="宋体" w:eastAsia="宋体" w:cs="Times New Roman"/>
          <w:sz w:val="21"/>
          <w:szCs w:val="21"/>
          <w:highlight w:val="none"/>
        </w:rPr>
      </w:pPr>
      <w:r>
        <w:rPr>
          <w:rFonts w:ascii="宋体" w:hAnsi="宋体" w:eastAsia="宋体" w:cs="Times New Roman"/>
          <w:sz w:val="21"/>
          <w:szCs w:val="21"/>
          <w:highlight w:val="none"/>
        </w:rPr>
        <w:t>地址：</w:t>
      </w:r>
    </w:p>
    <w:p w14:paraId="689A2351">
      <w:pPr>
        <w:tabs>
          <w:tab w:val="left" w:pos="630"/>
        </w:tabs>
        <w:adjustRightInd w:val="0"/>
        <w:spacing w:line="336"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为了保护甲、乙双方合法权益，根据《中华人民共和国民法典》及其他有关法律、法规的规定，本着平等、诚实信用及协商一致的原则，签订本合同协议书。</w:t>
      </w:r>
    </w:p>
    <w:p w14:paraId="42760721">
      <w:pPr>
        <w:tabs>
          <w:tab w:val="left" w:pos="630"/>
        </w:tabs>
        <w:adjustRightInd w:val="0"/>
        <w:spacing w:line="336"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一、项目信息</w:t>
      </w:r>
    </w:p>
    <w:p w14:paraId="2AC32C1A">
      <w:pPr>
        <w:tabs>
          <w:tab w:val="left" w:pos="630"/>
        </w:tabs>
        <w:adjustRightInd w:val="0"/>
        <w:spacing w:line="336"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 xml:space="preserve">1.采购项目名称： </w:t>
      </w:r>
    </w:p>
    <w:p w14:paraId="7041329B">
      <w:pPr>
        <w:tabs>
          <w:tab w:val="left" w:pos="630"/>
        </w:tabs>
        <w:adjustRightInd w:val="0"/>
        <w:spacing w:line="336"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2.采购编号：</w:t>
      </w:r>
      <w:r>
        <w:rPr>
          <w:rFonts w:ascii="宋体" w:hAnsi="宋体" w:eastAsia="宋体" w:cs="宋体"/>
          <w:sz w:val="21"/>
          <w:szCs w:val="21"/>
          <w:highlight w:val="none"/>
        </w:rPr>
        <w:t xml:space="preserve"> </w:t>
      </w:r>
    </w:p>
    <w:p w14:paraId="6FB7BF6A">
      <w:pPr>
        <w:tabs>
          <w:tab w:val="left" w:pos="630"/>
        </w:tabs>
        <w:adjustRightInd w:val="0"/>
        <w:spacing w:line="336" w:lineRule="auto"/>
        <w:ind w:firstLine="420" w:firstLineChars="200"/>
        <w:rPr>
          <w:rFonts w:ascii="宋体" w:hAnsi="宋体" w:eastAsia="宋体" w:cs="Times New Roman"/>
          <w:b/>
          <w:sz w:val="21"/>
          <w:szCs w:val="21"/>
          <w:highlight w:val="none"/>
        </w:rPr>
      </w:pPr>
      <w:r>
        <w:rPr>
          <w:rFonts w:ascii="宋体" w:hAnsi="宋体" w:eastAsia="宋体" w:cs="Times New Roman"/>
          <w:sz w:val="21"/>
          <w:szCs w:val="21"/>
          <w:highlight w:val="none"/>
        </w:rPr>
        <w:t>3.项目内容（名称、规格型号、数量、合同金额等）：</w:t>
      </w:r>
    </w:p>
    <w:tbl>
      <w:tblPr>
        <w:tblStyle w:val="5"/>
        <w:tblW w:w="86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2"/>
        <w:gridCol w:w="1310"/>
        <w:gridCol w:w="1923"/>
        <w:gridCol w:w="727"/>
        <w:gridCol w:w="1134"/>
        <w:gridCol w:w="1134"/>
        <w:gridCol w:w="709"/>
      </w:tblGrid>
      <w:tr w14:paraId="735E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52" w:type="dxa"/>
            <w:noWrap/>
            <w:vAlign w:val="center"/>
          </w:tcPr>
          <w:p w14:paraId="7C14B38D">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货物名称</w:t>
            </w:r>
          </w:p>
        </w:tc>
        <w:tc>
          <w:tcPr>
            <w:tcW w:w="1310" w:type="dxa"/>
            <w:noWrap/>
            <w:vAlign w:val="center"/>
          </w:tcPr>
          <w:p w14:paraId="17D3F217">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规格型号</w:t>
            </w:r>
          </w:p>
        </w:tc>
        <w:tc>
          <w:tcPr>
            <w:tcW w:w="1923" w:type="dxa"/>
            <w:noWrap/>
            <w:vAlign w:val="center"/>
          </w:tcPr>
          <w:p w14:paraId="7203F622">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制造商</w:t>
            </w:r>
          </w:p>
        </w:tc>
        <w:tc>
          <w:tcPr>
            <w:tcW w:w="727" w:type="dxa"/>
            <w:noWrap/>
            <w:vAlign w:val="center"/>
          </w:tcPr>
          <w:p w14:paraId="2900957A">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数量</w:t>
            </w:r>
          </w:p>
        </w:tc>
        <w:tc>
          <w:tcPr>
            <w:tcW w:w="1134" w:type="dxa"/>
            <w:noWrap/>
            <w:vAlign w:val="center"/>
          </w:tcPr>
          <w:p w14:paraId="3690218B">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单价(元)</w:t>
            </w:r>
          </w:p>
        </w:tc>
        <w:tc>
          <w:tcPr>
            <w:tcW w:w="1134" w:type="dxa"/>
            <w:noWrap/>
            <w:vAlign w:val="center"/>
          </w:tcPr>
          <w:p w14:paraId="1F4EACAB">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小计(元)</w:t>
            </w:r>
          </w:p>
        </w:tc>
        <w:tc>
          <w:tcPr>
            <w:tcW w:w="709" w:type="dxa"/>
            <w:noWrap/>
            <w:vAlign w:val="center"/>
          </w:tcPr>
          <w:p w14:paraId="6F8599BC">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备注</w:t>
            </w:r>
          </w:p>
        </w:tc>
      </w:tr>
      <w:tr w14:paraId="3345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52" w:type="dxa"/>
            <w:noWrap/>
            <w:vAlign w:val="center"/>
          </w:tcPr>
          <w:p w14:paraId="17F4AA94">
            <w:pPr>
              <w:widowControl/>
              <w:jc w:val="center"/>
              <w:textAlignment w:val="center"/>
              <w:rPr>
                <w:rFonts w:ascii="Times New Roman" w:hAnsi="Times New Roman" w:eastAsia="宋体" w:cs="Times New Roman"/>
                <w:sz w:val="21"/>
                <w:szCs w:val="21"/>
                <w:highlight w:val="none"/>
              </w:rPr>
            </w:pPr>
          </w:p>
        </w:tc>
        <w:tc>
          <w:tcPr>
            <w:tcW w:w="1310" w:type="dxa"/>
            <w:noWrap/>
            <w:vAlign w:val="center"/>
          </w:tcPr>
          <w:p w14:paraId="7AD6E7BA">
            <w:pPr>
              <w:widowControl/>
              <w:jc w:val="center"/>
              <w:textAlignment w:val="center"/>
              <w:rPr>
                <w:rFonts w:ascii="Times New Roman" w:hAnsi="Times New Roman" w:eastAsia="宋体" w:cs="Times New Roman"/>
                <w:sz w:val="21"/>
                <w:szCs w:val="21"/>
                <w:highlight w:val="none"/>
              </w:rPr>
            </w:pPr>
          </w:p>
        </w:tc>
        <w:tc>
          <w:tcPr>
            <w:tcW w:w="1923" w:type="dxa"/>
            <w:noWrap/>
            <w:vAlign w:val="center"/>
          </w:tcPr>
          <w:p w14:paraId="067699F0">
            <w:pPr>
              <w:widowControl/>
              <w:jc w:val="center"/>
              <w:textAlignment w:val="center"/>
              <w:rPr>
                <w:rFonts w:ascii="Times New Roman" w:hAnsi="Times New Roman" w:eastAsia="宋体" w:cs="Times New Roman"/>
                <w:sz w:val="21"/>
                <w:szCs w:val="21"/>
                <w:highlight w:val="none"/>
              </w:rPr>
            </w:pPr>
          </w:p>
        </w:tc>
        <w:tc>
          <w:tcPr>
            <w:tcW w:w="727" w:type="dxa"/>
            <w:noWrap/>
            <w:vAlign w:val="center"/>
          </w:tcPr>
          <w:p w14:paraId="5E286F05">
            <w:pPr>
              <w:widowControl/>
              <w:jc w:val="center"/>
              <w:textAlignment w:val="center"/>
              <w:rPr>
                <w:rFonts w:ascii="Times New Roman" w:hAnsi="Times New Roman" w:eastAsia="宋体" w:cs="Times New Roman"/>
                <w:sz w:val="21"/>
                <w:szCs w:val="21"/>
                <w:highlight w:val="none"/>
              </w:rPr>
            </w:pPr>
          </w:p>
        </w:tc>
        <w:tc>
          <w:tcPr>
            <w:tcW w:w="1134" w:type="dxa"/>
            <w:noWrap/>
            <w:vAlign w:val="center"/>
          </w:tcPr>
          <w:p w14:paraId="25EDEFF3">
            <w:pPr>
              <w:widowControl/>
              <w:jc w:val="center"/>
              <w:textAlignment w:val="center"/>
              <w:rPr>
                <w:rFonts w:ascii="Times New Roman" w:hAnsi="Times New Roman" w:eastAsia="宋体" w:cs="Times New Roman"/>
                <w:sz w:val="21"/>
                <w:szCs w:val="21"/>
                <w:highlight w:val="none"/>
              </w:rPr>
            </w:pPr>
          </w:p>
        </w:tc>
        <w:tc>
          <w:tcPr>
            <w:tcW w:w="1134" w:type="dxa"/>
            <w:noWrap/>
            <w:vAlign w:val="center"/>
          </w:tcPr>
          <w:p w14:paraId="395B219C">
            <w:pPr>
              <w:widowControl/>
              <w:jc w:val="center"/>
              <w:textAlignment w:val="center"/>
              <w:rPr>
                <w:rFonts w:ascii="Times New Roman" w:hAnsi="Times New Roman" w:eastAsia="宋体" w:cs="Times New Roman"/>
                <w:sz w:val="21"/>
                <w:szCs w:val="21"/>
                <w:highlight w:val="none"/>
              </w:rPr>
            </w:pPr>
          </w:p>
        </w:tc>
        <w:tc>
          <w:tcPr>
            <w:tcW w:w="709" w:type="dxa"/>
            <w:noWrap/>
            <w:vAlign w:val="center"/>
          </w:tcPr>
          <w:p w14:paraId="5B755A37">
            <w:pPr>
              <w:tabs>
                <w:tab w:val="left" w:pos="630"/>
              </w:tabs>
              <w:spacing w:line="300" w:lineRule="exact"/>
              <w:jc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w:t>
            </w:r>
          </w:p>
        </w:tc>
      </w:tr>
      <w:tr w14:paraId="79F9C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752" w:type="dxa"/>
            <w:noWrap/>
            <w:vAlign w:val="center"/>
          </w:tcPr>
          <w:p w14:paraId="5E71CE5D">
            <w:pPr>
              <w:widowControl/>
              <w:jc w:val="center"/>
              <w:textAlignment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合计总金额</w:t>
            </w:r>
          </w:p>
        </w:tc>
        <w:tc>
          <w:tcPr>
            <w:tcW w:w="6937" w:type="dxa"/>
            <w:gridSpan w:val="6"/>
            <w:noWrap/>
            <w:vAlign w:val="center"/>
          </w:tcPr>
          <w:p w14:paraId="0FC0FE0A">
            <w:pPr>
              <w:tabs>
                <w:tab w:val="left" w:pos="630"/>
              </w:tabs>
              <w:spacing w:line="360" w:lineRule="auto"/>
              <w:jc w:val="center"/>
              <w:rPr>
                <w:rFonts w:ascii="Times New Roman" w:hAnsi="Times New Roman" w:eastAsia="宋体" w:cs="Times New Roman"/>
                <w:sz w:val="21"/>
                <w:szCs w:val="21"/>
                <w:highlight w:val="none"/>
              </w:rPr>
            </w:pPr>
            <w:r>
              <w:rPr>
                <w:rFonts w:ascii="Times New Roman" w:hAnsi="Times New Roman" w:eastAsia="宋体" w:cs="Times New Roman"/>
                <w:sz w:val="21"/>
                <w:szCs w:val="21"/>
                <w:highlight w:val="none"/>
              </w:rPr>
              <w:t>大写： 元整 小写：¥ .00元</w:t>
            </w:r>
          </w:p>
        </w:tc>
      </w:tr>
    </w:tbl>
    <w:p w14:paraId="4FA2D626">
      <w:pPr>
        <w:tabs>
          <w:tab w:val="left" w:pos="630"/>
        </w:tabs>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二、质量标准和技术规格</w:t>
      </w:r>
    </w:p>
    <w:p w14:paraId="5AE94BAB">
      <w:pPr>
        <w:tabs>
          <w:tab w:val="left" w:pos="630"/>
        </w:tabs>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乙方提供和交付的货物应是全新的、未使用过的原装正品，完全符合国家技术规范和质量标准；</w:t>
      </w:r>
      <w:r>
        <w:rPr>
          <w:rFonts w:ascii="Arial" w:hAnsi="Arial" w:eastAsia="宋体" w:cs="Times New Roman"/>
          <w:sz w:val="21"/>
          <w:szCs w:val="21"/>
          <w:highlight w:val="none"/>
        </w:rPr>
        <w:t>并向甲方提供乙方以及生产者的合法资质文件，确保产品信息具有可追溯性</w:t>
      </w:r>
      <w:r>
        <w:rPr>
          <w:rFonts w:ascii="宋体" w:hAnsi="宋体" w:eastAsia="宋体" w:cs="Times New Roman"/>
          <w:sz w:val="21"/>
          <w:szCs w:val="21"/>
          <w:highlight w:val="none"/>
        </w:rPr>
        <w:t>。</w:t>
      </w:r>
    </w:p>
    <w:p w14:paraId="0BCAAD71">
      <w:pPr>
        <w:tabs>
          <w:tab w:val="left" w:pos="630"/>
        </w:tabs>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三、包装标准</w:t>
      </w:r>
    </w:p>
    <w:p w14:paraId="33F02615">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1、包装应以货物运输及装卸过程中在非人为因素影响下不发生破坏为原则。由于包装不善引起的货物锈蚀、损坏和损失由乙方承担，并予以全部退还。</w:t>
      </w:r>
    </w:p>
    <w:p w14:paraId="450EC4F1">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2、包装箱内应附一份详细装箱单和合格证，使用说明书、质量检验证明书、随配附件和工具等应随货同行。</w:t>
      </w:r>
    </w:p>
    <w:p w14:paraId="0B4B38B4">
      <w:p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四、交货时间、地点及方式</w:t>
      </w:r>
    </w:p>
    <w:p w14:paraId="271D2AE6">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自合同签订后</w:t>
      </w:r>
      <w:r>
        <w:rPr>
          <w:rFonts w:ascii="宋体" w:hAnsi="宋体" w:eastAsia="宋体" w:cs="Times New Roman"/>
          <w:sz w:val="21"/>
          <w:szCs w:val="21"/>
          <w:highlight w:val="none"/>
          <w:u w:val="single"/>
        </w:rPr>
        <w:t xml:space="preserve">     </w:t>
      </w:r>
      <w:r>
        <w:rPr>
          <w:rFonts w:ascii="宋体" w:hAnsi="宋体" w:eastAsia="宋体" w:cs="Times New Roman"/>
          <w:sz w:val="21"/>
          <w:szCs w:val="21"/>
          <w:highlight w:val="none"/>
        </w:rPr>
        <w:t>日内将合同标的货物送到甲方指定地点，并完成安装调试、正常使用。期间所发生的运输费、保险费、装卸费（含吊装、上下楼费）、保管费等伴随服务费均包含在合同总价中，甲方不再另外支付费用。</w:t>
      </w:r>
    </w:p>
    <w:p w14:paraId="5C80ECBC">
      <w:p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五、安装调试和验收</w:t>
      </w:r>
    </w:p>
    <w:p w14:paraId="5D668290">
      <w:pPr>
        <w:tabs>
          <w:tab w:val="left" w:pos="420"/>
          <w:tab w:val="left" w:pos="630"/>
        </w:tabs>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设备安装前，厂家工程师须协助并指导甲方相关人员确认安装准备工作。设备运抵安装地点后，乙方应第一时间联系甲方物资供应部项目验收负责人（姓名：</w:t>
      </w:r>
      <w:r>
        <w:rPr>
          <w:rFonts w:hint="eastAsia" w:ascii="宋体" w:hAnsi="宋体" w:eastAsia="宋体" w:cs="Times New Roman"/>
          <w:sz w:val="21"/>
          <w:szCs w:val="21"/>
          <w:highlight w:val="none"/>
          <w:lang w:val="en-US" w:eastAsia="zh-CN"/>
        </w:rPr>
        <w:t xml:space="preserve">  </w:t>
      </w:r>
      <w:r>
        <w:rPr>
          <w:rFonts w:ascii="宋体" w:hAnsi="宋体" w:eastAsia="宋体" w:cs="Times New Roman"/>
          <w:sz w:val="21"/>
          <w:szCs w:val="21"/>
          <w:highlight w:val="none"/>
        </w:rPr>
        <w:t>，联系方式：</w:t>
      </w:r>
      <w:r>
        <w:rPr>
          <w:rFonts w:hint="eastAsia" w:ascii="宋体" w:hAnsi="宋体" w:eastAsia="宋体" w:cs="Times New Roman"/>
          <w:sz w:val="21"/>
          <w:szCs w:val="21"/>
          <w:highlight w:val="none"/>
          <w:lang w:val="en-US" w:eastAsia="zh-CN"/>
        </w:rPr>
        <w:t xml:space="preserve">  </w:t>
      </w:r>
      <w:r>
        <w:rPr>
          <w:rFonts w:ascii="宋体" w:hAnsi="宋体" w:eastAsia="宋体" w:cs="Times New Roman"/>
          <w:sz w:val="21"/>
          <w:szCs w:val="21"/>
          <w:highlight w:val="none"/>
        </w:rPr>
        <w:t>），配合办理货物清点、验收及入库等相关手续。同时，乙方在接到甲方通知后，须指派有经验的技术人员严格按照医院制度及合同要求进行安装调试。安装调试费由乙方承担；若因乙方未及时联系甲方验收负责人而导致验收入库及项目延期的，相关后果由乙方自行承担。</w:t>
      </w:r>
    </w:p>
    <w:p w14:paraId="48F61D64">
      <w:pPr>
        <w:numPr>
          <w:ilvl w:val="1"/>
          <w:numId w:val="0"/>
        </w:numPr>
        <w:tabs>
          <w:tab w:val="left" w:pos="630"/>
        </w:tabs>
        <w:adjustRightInd w:val="0"/>
        <w:spacing w:line="312" w:lineRule="auto"/>
        <w:ind w:left="0" w:leftChars="0" w:firstLine="420" w:firstLineChars="200"/>
        <w:rPr>
          <w:rFonts w:ascii="宋体" w:hAnsi="宋体" w:eastAsia="宋体" w:cs="Times New Roman"/>
          <w:sz w:val="21"/>
          <w:szCs w:val="21"/>
          <w:highlight w:val="none"/>
        </w:rPr>
      </w:pPr>
      <w:r>
        <w:rPr>
          <w:rFonts w:hint="default" w:ascii="宋体" w:hAnsi="宋体" w:eastAsia="宋体" w:cs="Times New Roman"/>
          <w:kern w:val="2"/>
          <w:sz w:val="21"/>
          <w:szCs w:val="21"/>
          <w:lang w:val="en-US" w:eastAsia="zh-CN" w:bidi="ar-SA"/>
        </w:rPr>
        <w:t>（一）</w:t>
      </w:r>
      <w:r>
        <w:rPr>
          <w:rFonts w:ascii="宋体" w:hAnsi="宋体" w:eastAsia="宋体" w:cs="Times New Roman"/>
          <w:sz w:val="21"/>
          <w:szCs w:val="21"/>
          <w:highlight w:val="none"/>
        </w:rPr>
        <w:t>安装调试</w:t>
      </w:r>
    </w:p>
    <w:p w14:paraId="4FD30B77">
      <w:pPr>
        <w:numPr>
          <w:ilvl w:val="0"/>
          <w:numId w:val="1"/>
        </w:numPr>
        <w:tabs>
          <w:tab w:val="left" w:pos="420"/>
          <w:tab w:val="left" w:pos="630"/>
        </w:tabs>
        <w:adjustRightInd w:val="0"/>
        <w:spacing w:line="312" w:lineRule="auto"/>
        <w:ind w:left="0"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乙方负责设备的性能调试（性能验证），调试结果与招标要求不符的，甲方有权无条件退货并追究相关法律责任。</w:t>
      </w:r>
    </w:p>
    <w:p w14:paraId="377FF592">
      <w:pPr>
        <w:numPr>
          <w:ilvl w:val="0"/>
          <w:numId w:val="1"/>
        </w:numPr>
        <w:tabs>
          <w:tab w:val="left" w:pos="420"/>
          <w:tab w:val="left" w:pos="630"/>
        </w:tabs>
        <w:adjustRightInd w:val="0"/>
        <w:spacing w:line="312" w:lineRule="auto"/>
        <w:ind w:left="0"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在安装调试过程中产生的一切人员、设备损伤损坏等不良事件均由乙方负责。</w:t>
      </w:r>
    </w:p>
    <w:p w14:paraId="4A3E22D3">
      <w:pPr>
        <w:numPr>
          <w:ilvl w:val="0"/>
          <w:numId w:val="1"/>
        </w:numPr>
        <w:tabs>
          <w:tab w:val="left" w:pos="420"/>
          <w:tab w:val="left" w:pos="630"/>
        </w:tabs>
        <w:adjustRightInd w:val="0"/>
        <w:spacing w:line="312" w:lineRule="auto"/>
        <w:ind w:left="0"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乙方在甲方现场工作期间，乙方应对安装现场的其他设备、设施有良好保护措施，如因乙方原因造成甲方安装场地或其他设备、设施损坏的，乙方承担全部赔偿责任。</w:t>
      </w:r>
    </w:p>
    <w:p w14:paraId="18EE792A">
      <w:pPr>
        <w:numPr>
          <w:ilvl w:val="0"/>
          <w:numId w:val="1"/>
        </w:numPr>
        <w:tabs>
          <w:tab w:val="left" w:pos="420"/>
          <w:tab w:val="left" w:pos="630"/>
        </w:tabs>
        <w:adjustRightInd w:val="0"/>
        <w:spacing w:line="312" w:lineRule="auto"/>
        <w:ind w:left="0"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在设备安装调试过程中产生的垃圾、废置配件、废品等废弃物，由乙方按照国家及当地政府的有关规定妥善处置，废弃物的处置费用等已包含在合同总价内。如因此造成环境污染、环境破坏或其他损害等产生的全部费用由乙方承担。</w:t>
      </w:r>
    </w:p>
    <w:p w14:paraId="2AAEBB29">
      <w:pPr>
        <w:numPr>
          <w:ilvl w:val="1"/>
          <w:numId w:val="0"/>
        </w:numPr>
        <w:tabs>
          <w:tab w:val="left" w:pos="630"/>
        </w:tabs>
        <w:adjustRightInd w:val="0"/>
        <w:spacing w:line="312" w:lineRule="auto"/>
        <w:ind w:left="0" w:leftChars="0" w:firstLine="420" w:firstLineChars="200"/>
        <w:rPr>
          <w:rFonts w:ascii="宋体" w:hAnsi="宋体" w:eastAsia="宋体" w:cs="Times New Roman"/>
          <w:sz w:val="21"/>
          <w:szCs w:val="21"/>
          <w:highlight w:val="none"/>
        </w:rPr>
      </w:pPr>
      <w:r>
        <w:rPr>
          <w:rFonts w:hint="default" w:ascii="宋体" w:hAnsi="宋体" w:eastAsia="宋体" w:cs="Times New Roman"/>
          <w:kern w:val="2"/>
          <w:sz w:val="21"/>
          <w:szCs w:val="21"/>
          <w:lang w:val="en-US" w:eastAsia="zh-CN" w:bidi="ar-SA"/>
        </w:rPr>
        <w:t>（二）</w:t>
      </w:r>
      <w:r>
        <w:rPr>
          <w:rFonts w:ascii="宋体" w:hAnsi="宋体" w:eastAsia="宋体" w:cs="Times New Roman"/>
          <w:sz w:val="21"/>
          <w:szCs w:val="21"/>
          <w:highlight w:val="none"/>
        </w:rPr>
        <w:t>验收</w:t>
      </w:r>
    </w:p>
    <w:p w14:paraId="26D9993C">
      <w:pPr>
        <w:numPr>
          <w:ilvl w:val="0"/>
          <w:numId w:val="0"/>
        </w:numPr>
        <w:tabs>
          <w:tab w:val="left" w:pos="420"/>
          <w:tab w:val="left" w:pos="630"/>
        </w:tabs>
        <w:adjustRightInd w:val="0"/>
        <w:spacing w:line="300" w:lineRule="auto"/>
        <w:ind w:left="0" w:leftChars="0" w:firstLine="420" w:firstLineChars="200"/>
        <w:textAlignment w:val="baseline"/>
        <w:rPr>
          <w:rFonts w:ascii="宋体" w:hAnsi="宋体" w:eastAsia="宋体" w:cs="Times New Roman"/>
          <w:color w:val="000000"/>
          <w:sz w:val="21"/>
          <w:szCs w:val="21"/>
          <w:highlight w:val="none"/>
        </w:rPr>
      </w:pPr>
      <w:r>
        <w:rPr>
          <w:rFonts w:hint="default" w:ascii="宋体" w:hAnsi="宋体" w:eastAsia="宋体" w:cs="Times New Roman"/>
          <w:color w:val="000000"/>
          <w:kern w:val="2"/>
          <w:sz w:val="21"/>
          <w:szCs w:val="21"/>
          <w:lang w:val="en-US" w:eastAsia="zh-CN" w:bidi="ar-SA"/>
        </w:rPr>
        <w:t>1、</w:t>
      </w:r>
      <w:r>
        <w:rPr>
          <w:rFonts w:ascii="宋体" w:hAnsi="宋体" w:eastAsia="宋体" w:cs="Times New Roman"/>
          <w:sz w:val="21"/>
          <w:szCs w:val="21"/>
          <w:highlight w:val="none"/>
        </w:rPr>
        <w:t>甲方将按照国家及行业相关标准和招投标文件技术要求进行验收。本合同验收分为开箱验收和调试验收两部分。项目验收国家有强制性规定的，按国家规定执行，验收费用由乙方承担。</w:t>
      </w:r>
      <w:r>
        <w:rPr>
          <w:rFonts w:ascii="宋体" w:hAnsi="宋体" w:eastAsia="宋体" w:cs="Times New Roman"/>
          <w:color w:val="000000"/>
          <w:sz w:val="21"/>
          <w:szCs w:val="21"/>
          <w:highlight w:val="none"/>
        </w:rPr>
        <w:t>检测达不到使用要求的，甲方有权无条件退货并追究乙方相关法律责任。乙方须提供具有资质的第三方机构检定或校准报告。采购人有权进行复检，如复检不合格，甲方有权终止合同，并追究相关责任。</w:t>
      </w:r>
    </w:p>
    <w:p w14:paraId="0DCD2ED0">
      <w:pPr>
        <w:numPr>
          <w:ilvl w:val="0"/>
          <w:numId w:val="0"/>
        </w:numPr>
        <w:tabs>
          <w:tab w:val="left" w:pos="420"/>
          <w:tab w:val="left" w:pos="630"/>
        </w:tabs>
        <w:adjustRightInd w:val="0"/>
        <w:spacing w:line="312" w:lineRule="auto"/>
        <w:ind w:left="0" w:leftChars="0" w:firstLine="420" w:firstLineChars="200"/>
        <w:rPr>
          <w:rFonts w:ascii="宋体" w:hAnsi="宋体" w:eastAsia="宋体" w:cs="Times New Roman"/>
          <w:sz w:val="21"/>
          <w:szCs w:val="21"/>
          <w:highlight w:val="none"/>
        </w:rPr>
      </w:pPr>
      <w:r>
        <w:rPr>
          <w:rFonts w:hint="default" w:ascii="宋体" w:hAnsi="宋体" w:eastAsia="宋体" w:cs="Times New Roman"/>
          <w:kern w:val="2"/>
          <w:sz w:val="21"/>
          <w:szCs w:val="21"/>
          <w:lang w:val="en-US" w:eastAsia="zh-CN" w:bidi="ar-SA"/>
        </w:rPr>
        <w:t>2、</w:t>
      </w:r>
      <w:r>
        <w:rPr>
          <w:rFonts w:ascii="宋体" w:hAnsi="宋体" w:eastAsia="宋体" w:cs="Times New Roman"/>
          <w:sz w:val="21"/>
          <w:szCs w:val="21"/>
          <w:highlight w:val="none"/>
        </w:rPr>
        <w:t>开箱验收</w:t>
      </w:r>
    </w:p>
    <w:p w14:paraId="532A70C6">
      <w:pPr>
        <w:tabs>
          <w:tab w:val="left" w:pos="420"/>
          <w:tab w:val="left" w:pos="630"/>
        </w:tabs>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乙方将设备送达甲方指定地点后，双方共同就包装、外观、品牌、原厂商、产地、数量、规格型号、生产日期、使用期限、注册证、说明书等是否与本合同约定相符进行验收。若乙方所提供的设备不符合本合同的约定，甲方有权拒收并要求乙方在10日内予以更换。若乙方未能在10日内更换符合本合同约定的设备，将视同乙方无法履行本合同约定，甲方有权解除合同，并要求乙方于3日内退还甲方已支付的款项以及要求乙方承担由此给甲方造成的一切损失，同时甲方有权向乙方收取本合同总价的5%作为违约金。</w:t>
      </w:r>
    </w:p>
    <w:p w14:paraId="7AF545CA">
      <w:pPr>
        <w:tabs>
          <w:tab w:val="left" w:pos="420"/>
          <w:tab w:val="left" w:pos="630"/>
        </w:tabs>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交货时，乙方应将项目有关的全部资料，包括产品资料、技术文档、施工图纸等，移交甲方。使用操作及安全须知等重要资料应附有中文说明。</w:t>
      </w:r>
    </w:p>
    <w:p w14:paraId="2873911F">
      <w:pPr>
        <w:numPr>
          <w:ilvl w:val="0"/>
          <w:numId w:val="0"/>
        </w:numPr>
        <w:tabs>
          <w:tab w:val="left" w:pos="420"/>
          <w:tab w:val="left" w:pos="630"/>
        </w:tabs>
        <w:adjustRightInd w:val="0"/>
        <w:spacing w:line="312" w:lineRule="auto"/>
        <w:ind w:left="0" w:leftChars="0" w:firstLine="420" w:firstLineChars="200"/>
        <w:rPr>
          <w:rFonts w:ascii="宋体" w:hAnsi="宋体" w:eastAsia="宋体" w:cs="Times New Roman"/>
          <w:sz w:val="21"/>
          <w:szCs w:val="21"/>
          <w:highlight w:val="none"/>
        </w:rPr>
      </w:pPr>
      <w:r>
        <w:rPr>
          <w:rFonts w:hint="default" w:ascii="宋体" w:hAnsi="宋体" w:eastAsia="宋体" w:cs="Times New Roman"/>
          <w:kern w:val="2"/>
          <w:sz w:val="21"/>
          <w:szCs w:val="21"/>
          <w:lang w:val="en-US" w:eastAsia="zh-CN" w:bidi="ar-SA"/>
        </w:rPr>
        <w:t>3、</w:t>
      </w:r>
      <w:r>
        <w:rPr>
          <w:rFonts w:ascii="宋体" w:hAnsi="宋体" w:eastAsia="宋体" w:cs="Times New Roman"/>
          <w:sz w:val="21"/>
          <w:szCs w:val="21"/>
          <w:highlight w:val="none"/>
        </w:rPr>
        <w:t>调试验收</w:t>
      </w:r>
    </w:p>
    <w:p w14:paraId="4DA144B3">
      <w:pPr>
        <w:tabs>
          <w:tab w:val="left" w:pos="420"/>
          <w:tab w:val="left" w:pos="630"/>
        </w:tabs>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乙方应在安装调试完成后及时通知甲方，并由双方相关人员共同验收，验收合格后由双方签章确认。如经验收不合格或未通过验收的，甲方有权选择无条件退货并追究相关法律责任。</w:t>
      </w:r>
    </w:p>
    <w:p w14:paraId="11AF898E">
      <w:pPr>
        <w:numPr>
          <w:ilvl w:val="0"/>
          <w:numId w:val="0"/>
        </w:numPr>
        <w:tabs>
          <w:tab w:val="left" w:pos="420"/>
          <w:tab w:val="left" w:pos="630"/>
        </w:tabs>
        <w:adjustRightInd w:val="0"/>
        <w:spacing w:line="312" w:lineRule="auto"/>
        <w:ind w:left="0" w:leftChars="0" w:firstLine="420" w:firstLineChars="200"/>
        <w:rPr>
          <w:rFonts w:ascii="宋体" w:hAnsi="宋体" w:eastAsia="宋体" w:cs="Times New Roman"/>
          <w:sz w:val="21"/>
          <w:szCs w:val="21"/>
          <w:highlight w:val="none"/>
        </w:rPr>
      </w:pPr>
      <w:r>
        <w:rPr>
          <w:rFonts w:hint="default" w:ascii="宋体" w:hAnsi="宋体" w:eastAsia="宋体" w:cs="Times New Roman"/>
          <w:kern w:val="2"/>
          <w:sz w:val="21"/>
          <w:szCs w:val="21"/>
          <w:lang w:val="en-US" w:eastAsia="zh-CN" w:bidi="ar-SA"/>
        </w:rPr>
        <w:t>4、</w:t>
      </w:r>
      <w:r>
        <w:rPr>
          <w:rFonts w:ascii="宋体" w:hAnsi="宋体" w:eastAsia="宋体" w:cs="Times New Roman"/>
          <w:sz w:val="21"/>
          <w:szCs w:val="21"/>
          <w:highlight w:val="none"/>
        </w:rPr>
        <w:t>安装调试验收完成前，相关设备均由乙方保管。在甲方最终验收合格并书面确认之前产品毁损灭失或至第三方损害的风险由乙方承担和负责赔偿。</w:t>
      </w:r>
    </w:p>
    <w:p w14:paraId="7B70B042">
      <w:pPr>
        <w:numPr>
          <w:ilvl w:val="0"/>
          <w:numId w:val="0"/>
        </w:numPr>
        <w:tabs>
          <w:tab w:val="left" w:pos="420"/>
          <w:tab w:val="left" w:pos="630"/>
        </w:tabs>
        <w:adjustRightInd w:val="0"/>
        <w:spacing w:line="312" w:lineRule="auto"/>
        <w:ind w:left="0" w:leftChars="0" w:firstLine="420" w:firstLineChars="200"/>
        <w:rPr>
          <w:rFonts w:ascii="宋体" w:hAnsi="宋体" w:eastAsia="宋体" w:cs="Times New Roman"/>
          <w:sz w:val="21"/>
          <w:szCs w:val="21"/>
          <w:highlight w:val="none"/>
        </w:rPr>
      </w:pPr>
      <w:r>
        <w:rPr>
          <w:rFonts w:hint="default" w:ascii="宋体" w:hAnsi="宋体" w:eastAsia="宋体" w:cs="Times New Roman"/>
          <w:kern w:val="2"/>
          <w:sz w:val="21"/>
          <w:szCs w:val="21"/>
          <w:lang w:val="en-US" w:eastAsia="zh-CN" w:bidi="ar-SA"/>
        </w:rPr>
        <w:t>5、</w:t>
      </w:r>
      <w:r>
        <w:rPr>
          <w:rFonts w:ascii="宋体" w:hAnsi="宋体" w:eastAsia="宋体" w:cs="Times New Roman"/>
          <w:sz w:val="21"/>
          <w:szCs w:val="21"/>
          <w:highlight w:val="none"/>
        </w:rPr>
        <w:t>仪器设备须有相应的操作和维保流程图表附在仪器设备上（根据甲方需要）；须免费提供该设备全套技术资料，包括但不限于：操作手册（中文纸质版或电子版）、维修手册、设备运行、安装、使用的环境要求、施工图纸及参数等。</w:t>
      </w:r>
    </w:p>
    <w:p w14:paraId="6BA7F2EC">
      <w:pPr>
        <w:numPr>
          <w:ilvl w:val="0"/>
          <w:numId w:val="2"/>
        </w:num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人员培训</w:t>
      </w:r>
    </w:p>
    <w:p w14:paraId="058E57B5">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设备安装后安排厂家专业工程师在用户所在地进行现场操作及维修人员培训，培训内容包括但不限于设备基本原理、基础使用、软件技术、数据处理和日常维护保养、常见简单故障处理及使用注意事项等，使工作人员能够独立进行常规操作和日常维护，并保证熟练程度。培训形式不限，教会为止。</w:t>
      </w:r>
    </w:p>
    <w:p w14:paraId="5D5EEF80">
      <w:pPr>
        <w:numPr>
          <w:ilvl w:val="0"/>
          <w:numId w:val="2"/>
        </w:num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质量保证和售后服务</w:t>
      </w:r>
    </w:p>
    <w:p w14:paraId="46C7EC9B">
      <w:pPr>
        <w:numPr>
          <w:ilvl w:val="0"/>
          <w:numId w:val="0"/>
        </w:numPr>
        <w:tabs>
          <w:tab w:val="left" w:pos="630"/>
        </w:tabs>
        <w:adjustRightInd w:val="0"/>
        <w:spacing w:line="312" w:lineRule="auto"/>
        <w:ind w:left="0" w:leftChars="0" w:firstLine="420" w:firstLineChars="200"/>
        <w:rPr>
          <w:rFonts w:ascii="宋体" w:hAnsi="宋体" w:eastAsia="宋体" w:cs="宋体"/>
          <w:sz w:val="21"/>
          <w:szCs w:val="21"/>
          <w:highlight w:val="none"/>
        </w:rPr>
      </w:pPr>
      <w:r>
        <w:rPr>
          <w:rFonts w:hint="eastAsia" w:ascii="宋体" w:hAnsi="宋体" w:eastAsia="宋体" w:cs="宋体"/>
          <w:kern w:val="2"/>
          <w:sz w:val="21"/>
          <w:szCs w:val="21"/>
          <w:lang w:val="en-US" w:eastAsia="zh-CN" w:bidi="ar-SA"/>
        </w:rPr>
        <w:t>1、</w:t>
      </w:r>
      <w:r>
        <w:rPr>
          <w:rFonts w:ascii="宋体" w:hAnsi="宋体" w:eastAsia="宋体" w:cs="宋体"/>
          <w:sz w:val="21"/>
          <w:szCs w:val="21"/>
          <w:highlight w:val="none"/>
        </w:rPr>
        <w:t>质量保证期：乙方提供   设备原厂整机质保期   年（质保开始时间以甲方的验收报告时间为准）。质保期内，设备的保养、保修服务，包括所有预防性维护和维修，原厂系统和安全必需的软硬件升级，所有服务和配件均包含在合同总价内；出现任何质量问题（人为破坏或自然灾害等不可抗力除外），乙方负责（全部工时费、材料费、管理费、保险税金等）更换或维修。</w:t>
      </w:r>
    </w:p>
    <w:p w14:paraId="36B4BC8C">
      <w:pPr>
        <w:numPr>
          <w:ilvl w:val="0"/>
          <w:numId w:val="0"/>
        </w:numPr>
        <w:tabs>
          <w:tab w:val="left" w:pos="630"/>
        </w:tabs>
        <w:adjustRightInd w:val="0"/>
        <w:spacing w:line="312" w:lineRule="auto"/>
        <w:ind w:left="0" w:leftChars="0" w:firstLine="420" w:firstLineChars="200"/>
        <w:rPr>
          <w:rFonts w:ascii="宋体" w:hAnsi="宋体" w:eastAsia="宋体" w:cs="宋体"/>
          <w:sz w:val="21"/>
          <w:szCs w:val="21"/>
          <w:highlight w:val="none"/>
        </w:rPr>
      </w:pPr>
      <w:r>
        <w:rPr>
          <w:rFonts w:hint="eastAsia" w:ascii="宋体" w:hAnsi="宋体" w:eastAsia="宋体" w:cs="宋体"/>
          <w:kern w:val="2"/>
          <w:sz w:val="21"/>
          <w:szCs w:val="21"/>
          <w:lang w:val="en-US" w:eastAsia="zh-CN" w:bidi="ar-SA"/>
        </w:rPr>
        <w:t>2、</w:t>
      </w:r>
      <w:r>
        <w:rPr>
          <w:rFonts w:ascii="宋体" w:hAnsi="宋体" w:eastAsia="宋体" w:cs="宋体"/>
          <w:sz w:val="21"/>
          <w:szCs w:val="21"/>
          <w:highlight w:val="none"/>
        </w:rPr>
        <w:t>质保期后，终身维修，提供原厂零部件供应，按成本价收取配件费用。</w:t>
      </w:r>
    </w:p>
    <w:p w14:paraId="7D171DC7">
      <w:pPr>
        <w:numPr>
          <w:ilvl w:val="0"/>
          <w:numId w:val="0"/>
        </w:numPr>
        <w:tabs>
          <w:tab w:val="left" w:pos="630"/>
        </w:tabs>
        <w:adjustRightInd w:val="0"/>
        <w:spacing w:line="312" w:lineRule="auto"/>
        <w:ind w:left="0" w:leftChars="0" w:firstLine="420" w:firstLineChars="200"/>
        <w:rPr>
          <w:rFonts w:ascii="宋体" w:hAnsi="宋体" w:eastAsia="宋体" w:cs="宋体"/>
          <w:sz w:val="21"/>
          <w:szCs w:val="21"/>
          <w:highlight w:val="none"/>
        </w:rPr>
      </w:pPr>
      <w:r>
        <w:rPr>
          <w:rFonts w:hint="eastAsia" w:ascii="宋体" w:hAnsi="宋体" w:eastAsia="宋体" w:cs="宋体"/>
          <w:kern w:val="2"/>
          <w:sz w:val="21"/>
          <w:szCs w:val="21"/>
          <w:lang w:val="en-US" w:eastAsia="zh-CN" w:bidi="ar-SA"/>
        </w:rPr>
        <w:t>3、</w:t>
      </w:r>
      <w:r>
        <w:rPr>
          <w:rFonts w:ascii="宋体" w:hAnsi="宋体" w:eastAsia="宋体" w:cs="宋体"/>
          <w:sz w:val="21"/>
          <w:szCs w:val="21"/>
          <w:highlight w:val="none"/>
        </w:rPr>
        <w:t>维修响应时间：提供7*24小时（全年365天）故障受理和技术支持服务。接到院方故障报修通知后≤1小时内电话响应，≤48小时内到达现场，≤72小时内排除故障。若在约定的时间内不能排除故障，则应提供备用设备，或由院方采取必要的补救措施，但风险和费用将由乙方承担。因仪器故障停用的时间，质保期累计相应顺延。</w:t>
      </w:r>
    </w:p>
    <w:p w14:paraId="7D63ADCB">
      <w:pPr>
        <w:numPr>
          <w:ilvl w:val="0"/>
          <w:numId w:val="0"/>
        </w:numPr>
        <w:tabs>
          <w:tab w:val="left" w:pos="630"/>
        </w:tabs>
        <w:adjustRightInd w:val="0"/>
        <w:spacing w:line="312" w:lineRule="auto"/>
        <w:ind w:left="0" w:leftChars="0" w:firstLine="420" w:firstLineChars="200"/>
        <w:rPr>
          <w:rFonts w:ascii="宋体" w:hAnsi="宋体" w:eastAsia="宋体" w:cs="宋体"/>
          <w:sz w:val="21"/>
          <w:szCs w:val="21"/>
          <w:highlight w:val="none"/>
        </w:rPr>
      </w:pPr>
      <w:r>
        <w:rPr>
          <w:rFonts w:hint="eastAsia" w:ascii="宋体" w:hAnsi="宋体" w:eastAsia="宋体" w:cs="宋体"/>
          <w:kern w:val="2"/>
          <w:sz w:val="21"/>
          <w:szCs w:val="21"/>
          <w:lang w:val="en-US" w:eastAsia="zh-CN" w:bidi="ar-SA"/>
        </w:rPr>
        <w:t>4、</w:t>
      </w:r>
      <w:r>
        <w:rPr>
          <w:rFonts w:ascii="宋体" w:hAnsi="宋体" w:eastAsia="宋体" w:cs="宋体"/>
          <w:sz w:val="21"/>
          <w:szCs w:val="21"/>
          <w:highlight w:val="none"/>
        </w:rPr>
        <w:t>提供售后人员现场服务联系方式或远程连线售后服务方式。</w:t>
      </w:r>
    </w:p>
    <w:p w14:paraId="1D0FF2C1">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 xml:space="preserve">地址： </w:t>
      </w:r>
    </w:p>
    <w:p w14:paraId="61489EF5">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 xml:space="preserve">联系人及联系方式： </w:t>
      </w:r>
    </w:p>
    <w:p w14:paraId="00374A26">
      <w:pPr>
        <w:numPr>
          <w:ilvl w:val="0"/>
          <w:numId w:val="0"/>
        </w:numPr>
        <w:tabs>
          <w:tab w:val="left" w:pos="630"/>
        </w:tabs>
        <w:adjustRightInd w:val="0"/>
        <w:spacing w:line="312" w:lineRule="auto"/>
        <w:ind w:left="0" w:leftChars="0" w:firstLine="420" w:firstLineChars="200"/>
        <w:rPr>
          <w:rFonts w:ascii="宋体" w:hAnsi="宋体" w:eastAsia="宋体" w:cs="宋体"/>
          <w:sz w:val="21"/>
          <w:szCs w:val="21"/>
          <w:highlight w:val="none"/>
        </w:rPr>
      </w:pPr>
      <w:r>
        <w:rPr>
          <w:rFonts w:hint="eastAsia" w:ascii="宋体" w:hAnsi="宋体" w:eastAsia="宋体" w:cs="宋体"/>
          <w:kern w:val="2"/>
          <w:sz w:val="21"/>
          <w:szCs w:val="21"/>
          <w:lang w:val="en-US" w:eastAsia="zh-CN" w:bidi="ar-SA"/>
        </w:rPr>
        <w:t>5、</w:t>
      </w:r>
      <w:r>
        <w:rPr>
          <w:rFonts w:ascii="宋体" w:hAnsi="宋体" w:eastAsia="宋体" w:cs="宋体"/>
          <w:sz w:val="21"/>
          <w:szCs w:val="21"/>
          <w:highlight w:val="none"/>
        </w:rPr>
        <w:t>本合同中因质量问题而引发的争议，由乙方负责提供相应的书面质量检测报告，质量检测报告必须由甲方所在地国家认可的产品质量监督检验机构出具，同时甲方保留自行委托第三方检验检测机构进行质量再检测的权利。</w:t>
      </w:r>
    </w:p>
    <w:p w14:paraId="229868AE">
      <w:pPr>
        <w:numPr>
          <w:ilvl w:val="0"/>
          <w:numId w:val="0"/>
        </w:numPr>
        <w:tabs>
          <w:tab w:val="left" w:pos="630"/>
        </w:tabs>
        <w:adjustRightInd w:val="0"/>
        <w:spacing w:line="312" w:lineRule="auto"/>
        <w:ind w:left="0" w:leftChars="0" w:firstLine="420" w:firstLineChars="200"/>
        <w:rPr>
          <w:rFonts w:ascii="宋体" w:hAnsi="宋体" w:eastAsia="宋体" w:cs="宋体"/>
          <w:sz w:val="21"/>
          <w:szCs w:val="21"/>
          <w:highlight w:val="none"/>
        </w:rPr>
      </w:pPr>
      <w:r>
        <w:rPr>
          <w:rFonts w:hint="eastAsia" w:ascii="宋体" w:hAnsi="宋体" w:eastAsia="宋体" w:cs="宋体"/>
          <w:kern w:val="2"/>
          <w:sz w:val="21"/>
          <w:szCs w:val="21"/>
          <w:lang w:val="en-US" w:eastAsia="zh-CN" w:bidi="ar-SA"/>
        </w:rPr>
        <w:t>6、</w:t>
      </w:r>
      <w:r>
        <w:rPr>
          <w:rFonts w:ascii="宋体" w:hAnsi="宋体" w:eastAsia="宋体" w:cs="宋体"/>
          <w:sz w:val="21"/>
          <w:szCs w:val="21"/>
          <w:highlight w:val="none"/>
        </w:rPr>
        <w:t>开放所有设备数据端口，确保数据安全；终身提供设备软件升级服务，提供永久性维修密码。乙方提供的产品中所有预装和为本项目安装的软件均为具有合法版权或使用权的正版软件且无质量瑕疵。</w:t>
      </w:r>
    </w:p>
    <w:p w14:paraId="5D246132">
      <w:pPr>
        <w:tabs>
          <w:tab w:val="left" w:pos="630"/>
        </w:tabs>
        <w:adjustRightInd w:val="0"/>
        <w:spacing w:line="312" w:lineRule="auto"/>
        <w:ind w:firstLine="422" w:firstLineChars="200"/>
        <w:rPr>
          <w:rFonts w:hint="eastAsia" w:ascii="宋体" w:hAnsi="宋体" w:eastAsia="宋体" w:cs="Times New Roman"/>
          <w:b/>
          <w:sz w:val="21"/>
          <w:szCs w:val="21"/>
          <w:highlight w:val="none"/>
          <w:lang w:eastAsia="zh-CN"/>
        </w:rPr>
      </w:pPr>
      <w:r>
        <w:rPr>
          <w:rFonts w:ascii="宋体" w:hAnsi="宋体" w:eastAsia="宋体" w:cs="Times New Roman"/>
          <w:b/>
          <w:sz w:val="21"/>
          <w:szCs w:val="21"/>
          <w:highlight w:val="none"/>
        </w:rPr>
        <w:t>八、货款结算方式</w:t>
      </w:r>
      <w:r>
        <w:rPr>
          <w:rFonts w:hint="eastAsia" w:ascii="宋体" w:hAnsi="宋体" w:eastAsia="宋体" w:cs="Times New Roman"/>
          <w:b/>
          <w:sz w:val="21"/>
          <w:szCs w:val="21"/>
          <w:highlight w:val="none"/>
          <w:lang w:eastAsia="zh-CN"/>
        </w:rPr>
        <w:t>（</w:t>
      </w:r>
      <w:r>
        <w:rPr>
          <w:rFonts w:hint="eastAsia" w:ascii="宋体" w:hAnsi="宋体" w:eastAsia="宋体" w:cs="Times New Roman"/>
          <w:b/>
          <w:sz w:val="21"/>
          <w:szCs w:val="21"/>
          <w:highlight w:val="none"/>
          <w:lang w:val="en-US" w:eastAsia="zh-CN"/>
        </w:rPr>
        <w:t>详见商务要求</w:t>
      </w:r>
      <w:r>
        <w:rPr>
          <w:rFonts w:hint="eastAsia" w:ascii="宋体" w:hAnsi="宋体" w:eastAsia="宋体" w:cs="Times New Roman"/>
          <w:b/>
          <w:sz w:val="21"/>
          <w:szCs w:val="21"/>
          <w:highlight w:val="none"/>
          <w:lang w:eastAsia="zh-CN"/>
        </w:rPr>
        <w:t>）</w:t>
      </w:r>
    </w:p>
    <w:p w14:paraId="06D9C7FB">
      <w:p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九、违约责任</w:t>
      </w:r>
    </w:p>
    <w:p w14:paraId="73B63BF8">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1、合同签订后，如有一方违约自行终止合同，违约方以合同总价款的5%作为违约金,给对方进行赔偿,并承担因违约给对方造成的经济损失。</w:t>
      </w:r>
    </w:p>
    <w:p w14:paraId="7BA6C1C0">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2、出现欺诈、以次充好、提供已临近失效期的设备等行为的，乙方应向甲方支付合同总金额的5%违约金，并全额赔偿甲方的经济损失，同时甲方有权追究乙方的法律责任。</w:t>
      </w:r>
    </w:p>
    <w:p w14:paraId="501B3F6A">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3、延期交货：误期赔偿费按每延期一周收取合同总价款的0.5%，但误期赔偿费的最高限额不超过合同价的5%。一旦达到最高限额，甲方可以终止合同，并另向第三方进行采购，且甲方不承担任何违约责任，乙方应返还甲方已支付的款项，同时承担由此给甲方造成的其他损失。</w:t>
      </w:r>
    </w:p>
    <w:p w14:paraId="121F822B">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4、乙方人员在设备安装调试工作期间因故意或过失致使甲方或甲方工作人员或第三人财产损失、人身损害的，由乙方承担一切赔偿责任。</w:t>
      </w:r>
    </w:p>
    <w:p w14:paraId="36012D65">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5、乙方应保证其所提供的全部资料和证明文件合法、真实、有效，否则乙方应按本合同总价的5%向甲方支付违约金，同时由乙方承担由此给甲方造成的一切损失。</w:t>
      </w:r>
    </w:p>
    <w:p w14:paraId="7999111E">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6、除甲方事先书面同意外，乙方不得部分或全部转让其应履行的合同义务。否则，甲方有权单方解除本合同，乙方应在本合同解除后3日内退还甲方已支付的款项，并按本合同总价的5%向甲方支付违约金，同时承担由此给甲方造成的一切损失。</w:t>
      </w:r>
    </w:p>
    <w:p w14:paraId="1DB3CB84">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7、本合同下的所有违约金以及损失赔偿款等，甲方均有权从本合同总价中直接扣除，同时甲方有权根据本合同的相关约定向乙方提出不足部分的赔偿。除另有说明外，本合同下所指损失包括但不限于直接损失、可得利益损失、财产保全费用、担保费、诉讼费、律师费等。</w:t>
      </w:r>
    </w:p>
    <w:p w14:paraId="1A71F055">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8、不可抗力</w:t>
      </w:r>
    </w:p>
    <w:p w14:paraId="285B20C9">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本合同所指不可抗力是指战争、火灾、洪水、台风、地震及其他不能预见、不能避免并不能克服且经双方认定的客观事项或情况。</w:t>
      </w:r>
    </w:p>
    <w:p w14:paraId="25B3B60A">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甲乙双方中任何一方由于不可抗力影响合同约定的履行时，应在3日内以书面形式将不可抗力的事实、原因等通知另一方，并应同时提交相关的证明文件。</w:t>
      </w:r>
    </w:p>
    <w:p w14:paraId="17BC4212">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受不可抗力影响一方仍有责任采取必要的措施按时履行本合同的约定，同时双方应就继续履行本合同约定进行协商，并约定自提交不可抗力书面证明文件起10日内本合同下所有约定应履行完毕。</w:t>
      </w:r>
    </w:p>
    <w:p w14:paraId="340B3517">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确因不可抗力致使本合同目的无法实现的，经甲乙双方协商一致，可以解除本合同，由此造成的全部损失由甲乙双方协商承担。</w:t>
      </w:r>
    </w:p>
    <w:p w14:paraId="70EE6A61">
      <w:pPr>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除双方另有约定外，在不可抗力消除后，甲乙双方应继续履行本合同约定。</w:t>
      </w:r>
    </w:p>
    <w:p w14:paraId="71688A0C">
      <w:p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十、合同争议的解决方式</w:t>
      </w:r>
    </w:p>
    <w:p w14:paraId="4FB977B4">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本合同在履行中发生的争议，由双方协商解决，协商不一致的，双方同意向甲方住所地人民法院提出诉讼解决。</w:t>
      </w:r>
    </w:p>
    <w:p w14:paraId="5F5DF25E">
      <w:p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十一、合同生效及其他</w:t>
      </w:r>
    </w:p>
    <w:p w14:paraId="2B9633BC">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1、本合同由甲乙双方法定代表或委托代理人签字且盖章之日起生效。甲方指定XXX作为本合同履行期间的联系人（联系电话：XX）。乙方指定</w:t>
      </w:r>
      <w:r>
        <w:rPr>
          <w:rFonts w:ascii="宋体" w:hAnsi="宋体" w:eastAsia="宋体" w:cs="宋体"/>
          <w:kern w:val="0"/>
          <w:sz w:val="21"/>
          <w:szCs w:val="21"/>
          <w:highlight w:val="none"/>
        </w:rPr>
        <w:t>XX</w:t>
      </w:r>
      <w:r>
        <w:rPr>
          <w:rFonts w:ascii="宋体" w:hAnsi="宋体" w:eastAsia="宋体" w:cs="Times New Roman"/>
          <w:sz w:val="21"/>
          <w:szCs w:val="21"/>
          <w:highlight w:val="none"/>
        </w:rPr>
        <w:t>作为乙方委托代理人和本合同履行期间的联系人（身份证：</w:t>
      </w:r>
      <w:r>
        <w:rPr>
          <w:rFonts w:ascii="宋体" w:hAnsi="宋体" w:eastAsia="宋体" w:cs="宋体"/>
          <w:kern w:val="0"/>
          <w:sz w:val="21"/>
          <w:szCs w:val="21"/>
          <w:highlight w:val="none"/>
        </w:rPr>
        <w:t>XX</w:t>
      </w:r>
      <w:r>
        <w:rPr>
          <w:rFonts w:ascii="宋体" w:hAnsi="宋体" w:eastAsia="宋体" w:cs="Times New Roman"/>
          <w:sz w:val="21"/>
          <w:szCs w:val="21"/>
          <w:highlight w:val="none"/>
        </w:rPr>
        <w:t>，职务：</w:t>
      </w:r>
      <w:r>
        <w:rPr>
          <w:rFonts w:ascii="宋体" w:hAnsi="宋体" w:eastAsia="宋体" w:cs="宋体"/>
          <w:kern w:val="0"/>
          <w:sz w:val="21"/>
          <w:szCs w:val="21"/>
          <w:highlight w:val="none"/>
        </w:rPr>
        <w:t>XX</w:t>
      </w:r>
      <w:r>
        <w:rPr>
          <w:rFonts w:ascii="宋体" w:hAnsi="宋体" w:eastAsia="宋体" w:cs="Times New Roman"/>
          <w:sz w:val="21"/>
          <w:szCs w:val="21"/>
          <w:highlight w:val="none"/>
        </w:rPr>
        <w:t>，联系电话：</w:t>
      </w:r>
      <w:r>
        <w:rPr>
          <w:rFonts w:ascii="宋体" w:hAnsi="宋体" w:eastAsia="宋体" w:cs="宋体"/>
          <w:kern w:val="0"/>
          <w:sz w:val="21"/>
          <w:szCs w:val="21"/>
          <w:highlight w:val="none"/>
        </w:rPr>
        <w:t>XX</w:t>
      </w:r>
      <w:r>
        <w:rPr>
          <w:rFonts w:ascii="宋体" w:hAnsi="宋体" w:eastAsia="宋体" w:cs="Times New Roman"/>
          <w:sz w:val="21"/>
          <w:szCs w:val="21"/>
          <w:highlight w:val="none"/>
        </w:rPr>
        <w:t>），在本合同履行期间全权负责与甲方的接洽事务，该委托代理人（联系人）的行为、意思表示及对甲方所作的任何承诺、通知等均对乙方具有直接约束力；甲方通知送达该委托代理人（联系人）时，即视为通知送达乙方。乙方指定的委托代理人、联系人的任何信息发生变化的，应提前 5天书面通知甲方，否则相关送达的不利后果及责任，由乙方自行承担。</w:t>
      </w:r>
    </w:p>
    <w:p w14:paraId="73F2677D">
      <w:pPr>
        <w:tabs>
          <w:tab w:val="left" w:pos="630"/>
        </w:tabs>
        <w:adjustRightInd w:val="0"/>
        <w:spacing w:line="312" w:lineRule="auto"/>
        <w:ind w:firstLine="420" w:firstLineChars="200"/>
        <w:jc w:val="left"/>
        <w:rPr>
          <w:rFonts w:ascii="宋体" w:hAnsi="宋体" w:eastAsia="宋体" w:cs="Times New Roman"/>
          <w:sz w:val="21"/>
          <w:szCs w:val="21"/>
          <w:highlight w:val="none"/>
        </w:rPr>
      </w:pPr>
      <w:r>
        <w:rPr>
          <w:rFonts w:ascii="宋体" w:hAnsi="宋体" w:eastAsia="宋体" w:cs="Times New Roman"/>
          <w:sz w:val="21"/>
          <w:szCs w:val="21"/>
          <w:highlight w:val="none"/>
        </w:rPr>
        <w:t>2、本合同一式</w:t>
      </w:r>
      <w:r>
        <w:rPr>
          <w:rFonts w:ascii="宋体" w:hAnsi="宋体" w:eastAsia="宋体" w:cs="宋体"/>
          <w:kern w:val="0"/>
          <w:sz w:val="21"/>
          <w:szCs w:val="21"/>
          <w:highlight w:val="none"/>
        </w:rPr>
        <w:t xml:space="preserve">  </w:t>
      </w:r>
      <w:r>
        <w:rPr>
          <w:rFonts w:ascii="宋体" w:hAnsi="宋体" w:eastAsia="宋体" w:cs="Times New Roman"/>
          <w:sz w:val="21"/>
          <w:szCs w:val="21"/>
          <w:highlight w:val="none"/>
        </w:rPr>
        <w:t>份，甲方执三份，乙方执</w:t>
      </w:r>
      <w:r>
        <w:rPr>
          <w:rFonts w:ascii="宋体" w:hAnsi="宋体" w:eastAsia="宋体" w:cs="宋体"/>
          <w:kern w:val="0"/>
          <w:sz w:val="21"/>
          <w:szCs w:val="21"/>
          <w:highlight w:val="none"/>
        </w:rPr>
        <w:t xml:space="preserve">  </w:t>
      </w:r>
      <w:r>
        <w:rPr>
          <w:rFonts w:ascii="宋体" w:hAnsi="宋体" w:eastAsia="宋体" w:cs="Times New Roman"/>
          <w:sz w:val="21"/>
          <w:szCs w:val="21"/>
          <w:highlight w:val="none"/>
        </w:rPr>
        <w:t>份。招投标文件、谈判议价文件、合同附件、补充协议、投标人书面承诺等均为本合同不可分割的组成部分，均与本合同具有同等法律效力。</w:t>
      </w:r>
    </w:p>
    <w:p w14:paraId="77673432">
      <w:pPr>
        <w:tabs>
          <w:tab w:val="left" w:pos="630"/>
        </w:tabs>
        <w:adjustRightInd w:val="0"/>
        <w:spacing w:line="312" w:lineRule="auto"/>
        <w:ind w:firstLine="420" w:firstLineChars="200"/>
        <w:jc w:val="left"/>
        <w:rPr>
          <w:rFonts w:ascii="宋体" w:hAnsi="宋体" w:eastAsia="宋体" w:cs="Times New Roman"/>
          <w:sz w:val="21"/>
          <w:szCs w:val="21"/>
          <w:highlight w:val="none"/>
        </w:rPr>
      </w:pPr>
      <w:r>
        <w:rPr>
          <w:rFonts w:ascii="宋体" w:hAnsi="宋体" w:eastAsia="宋体" w:cs="Times New Roman"/>
          <w:sz w:val="21"/>
          <w:szCs w:val="21"/>
          <w:highlight w:val="none"/>
        </w:rPr>
        <w:t>3、双方因本合同所知悉的对方信息、商业秘密承担保密义务。未经对方同意，不得以任何形式泄露给第三方或使用。</w:t>
      </w:r>
    </w:p>
    <w:p w14:paraId="0F13499E">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4、乙方承担所派出人员的安全生产管理、劳资管理、人身安全物责任。</w:t>
      </w:r>
    </w:p>
    <w:p w14:paraId="53E6EC22">
      <w:pPr>
        <w:tabs>
          <w:tab w:val="left" w:pos="630"/>
        </w:tabs>
        <w:adjustRightInd w:val="0"/>
        <w:spacing w:line="312" w:lineRule="auto"/>
        <w:ind w:firstLine="420" w:firstLineChars="200"/>
        <w:rPr>
          <w:rFonts w:ascii="宋体" w:hAnsi="宋体" w:eastAsia="宋体" w:cs="Times New Roman"/>
          <w:sz w:val="21"/>
          <w:szCs w:val="21"/>
          <w:highlight w:val="none"/>
        </w:rPr>
      </w:pPr>
      <w:r>
        <w:rPr>
          <w:rFonts w:ascii="宋体" w:hAnsi="宋体" w:eastAsia="宋体" w:cs="Times New Roman"/>
          <w:sz w:val="21"/>
          <w:szCs w:val="21"/>
          <w:highlight w:val="none"/>
        </w:rPr>
        <w:t>5、合同未尽事宜双方协商解决。</w:t>
      </w:r>
    </w:p>
    <w:p w14:paraId="14D2E4C3">
      <w:pPr>
        <w:tabs>
          <w:tab w:val="left" w:pos="630"/>
        </w:tabs>
        <w:adjustRightInd w:val="0"/>
        <w:spacing w:line="312" w:lineRule="auto"/>
        <w:ind w:firstLine="422" w:firstLineChars="200"/>
        <w:rPr>
          <w:rFonts w:ascii="宋体" w:hAnsi="宋体" w:eastAsia="宋体" w:cs="Times New Roman"/>
          <w:b/>
          <w:sz w:val="21"/>
          <w:szCs w:val="21"/>
          <w:highlight w:val="none"/>
        </w:rPr>
      </w:pPr>
      <w:r>
        <w:rPr>
          <w:rFonts w:ascii="宋体" w:hAnsi="宋体" w:eastAsia="宋体" w:cs="Times New Roman"/>
          <w:b/>
          <w:sz w:val="21"/>
          <w:szCs w:val="21"/>
          <w:highlight w:val="none"/>
        </w:rPr>
        <w:t>十二、合同附件</w:t>
      </w:r>
    </w:p>
    <w:p w14:paraId="7AB324FA">
      <w:pPr>
        <w:spacing w:after="120" w:line="312" w:lineRule="auto"/>
        <w:ind w:firstLine="420" w:firstLineChars="200"/>
        <w:rPr>
          <w:rFonts w:ascii="宋体" w:hAnsi="宋体" w:eastAsia="宋体" w:cs="宋体"/>
          <w:sz w:val="21"/>
          <w:szCs w:val="21"/>
          <w:highlight w:val="none"/>
        </w:rPr>
      </w:pPr>
      <w:bookmarkStart w:id="2" w:name="_Hlk183010233"/>
      <w:r>
        <w:rPr>
          <w:rFonts w:ascii="宋体" w:hAnsi="宋体" w:eastAsia="宋体" w:cs="宋体"/>
          <w:sz w:val="21"/>
          <w:szCs w:val="21"/>
          <w:highlight w:val="none"/>
        </w:rPr>
        <w:t>附件一 配置清单</w:t>
      </w:r>
    </w:p>
    <w:bookmarkEnd w:id="2"/>
    <w:p w14:paraId="604AF4D3">
      <w:pPr>
        <w:spacing w:line="336" w:lineRule="auto"/>
        <w:rPr>
          <w:rFonts w:ascii="宋体" w:hAnsi="宋体" w:eastAsia="宋体" w:cs="宋体"/>
          <w:sz w:val="21"/>
          <w:szCs w:val="21"/>
          <w:highlight w:val="none"/>
        </w:rPr>
      </w:pPr>
    </w:p>
    <w:p w14:paraId="492FF2EC">
      <w:pPr>
        <w:spacing w:line="336" w:lineRule="auto"/>
        <w:rPr>
          <w:rFonts w:ascii="宋体" w:hAnsi="宋体" w:eastAsia="宋体" w:cs="Times New Roman"/>
          <w:sz w:val="21"/>
          <w:szCs w:val="21"/>
          <w:highlight w:val="none"/>
        </w:rPr>
      </w:pPr>
      <w:r>
        <w:rPr>
          <w:rFonts w:ascii="宋体" w:hAnsi="宋体" w:eastAsia="宋体" w:cs="Times New Roman"/>
          <w:sz w:val="21"/>
          <w:szCs w:val="21"/>
          <w:highlight w:val="none"/>
        </w:rPr>
        <w:t xml:space="preserve">甲方(盖章)：湖南省职业病防治院  </w:t>
      </w:r>
      <w:r>
        <w:rPr>
          <w:rFonts w:ascii="宋体" w:hAnsi="宋体" w:eastAsia="宋体" w:cs="Times New Roman"/>
          <w:spacing w:val="-11"/>
          <w:sz w:val="21"/>
          <w:szCs w:val="21"/>
          <w:highlight w:val="none"/>
        </w:rPr>
        <w:t xml:space="preserve">乙方(盖章)： </w:t>
      </w:r>
      <w:r>
        <w:rPr>
          <w:rFonts w:ascii="宋体" w:hAnsi="宋体" w:eastAsia="宋体" w:cs="宋体"/>
          <w:kern w:val="0"/>
          <w:sz w:val="21"/>
          <w:szCs w:val="21"/>
          <w:highlight w:val="none"/>
        </w:rPr>
        <w:t>XX</w:t>
      </w:r>
    </w:p>
    <w:p w14:paraId="7FC381BE">
      <w:pPr>
        <w:tabs>
          <w:tab w:val="left" w:pos="630"/>
        </w:tabs>
        <w:spacing w:line="360" w:lineRule="auto"/>
        <w:rPr>
          <w:rFonts w:ascii="宋体" w:hAnsi="宋体" w:eastAsia="宋体" w:cs="Times New Roman"/>
          <w:sz w:val="21"/>
          <w:szCs w:val="21"/>
          <w:highlight w:val="none"/>
        </w:rPr>
      </w:pPr>
      <w:r>
        <w:rPr>
          <w:rFonts w:ascii="宋体" w:hAnsi="宋体" w:eastAsia="宋体" w:cs="Times New Roman"/>
          <w:sz w:val="21"/>
          <w:szCs w:val="21"/>
          <w:highlight w:val="none"/>
        </w:rPr>
        <w:t xml:space="preserve">法定代表人：                     法定代表人： </w:t>
      </w:r>
    </w:p>
    <w:p w14:paraId="436BA255">
      <w:pPr>
        <w:tabs>
          <w:tab w:val="left" w:pos="630"/>
        </w:tabs>
        <w:spacing w:line="360" w:lineRule="auto"/>
        <w:rPr>
          <w:rFonts w:ascii="宋体" w:hAnsi="宋体" w:eastAsia="宋体" w:cs="Times New Roman"/>
          <w:sz w:val="21"/>
          <w:szCs w:val="21"/>
          <w:highlight w:val="none"/>
        </w:rPr>
      </w:pPr>
      <w:r>
        <w:rPr>
          <w:rFonts w:ascii="宋体" w:hAnsi="宋体" w:eastAsia="宋体" w:cs="Times New Roman"/>
          <w:sz w:val="21"/>
          <w:szCs w:val="21"/>
          <w:highlight w:val="none"/>
        </w:rPr>
        <w:t xml:space="preserve">委托代理人：                     委托代理人： </w:t>
      </w:r>
    </w:p>
    <w:p w14:paraId="3D76FBA4">
      <w:pPr>
        <w:tabs>
          <w:tab w:val="left" w:pos="630"/>
        </w:tabs>
        <w:spacing w:line="360" w:lineRule="auto"/>
        <w:rPr>
          <w:rFonts w:ascii="宋体" w:hAnsi="宋体" w:eastAsia="宋体" w:cs="Times New Roman"/>
          <w:sz w:val="21"/>
          <w:szCs w:val="21"/>
          <w:highlight w:val="none"/>
        </w:rPr>
      </w:pPr>
      <w:r>
        <w:rPr>
          <w:rFonts w:ascii="宋体" w:hAnsi="宋体" w:eastAsia="宋体" w:cs="Times New Roman"/>
          <w:sz w:val="21"/>
          <w:szCs w:val="21"/>
          <w:highlight w:val="none"/>
        </w:rPr>
        <w:t xml:space="preserve">联系电话：                       联系电话： </w:t>
      </w:r>
    </w:p>
    <w:p w14:paraId="5077E63D">
      <w:pPr>
        <w:tabs>
          <w:tab w:val="left" w:pos="630"/>
        </w:tabs>
        <w:adjustRightInd w:val="0"/>
        <w:spacing w:line="312" w:lineRule="auto"/>
        <w:jc w:val="left"/>
        <w:rPr>
          <w:rFonts w:ascii="宋体" w:hAnsi="宋体" w:eastAsia="宋体" w:cs="宋体"/>
          <w:sz w:val="21"/>
          <w:szCs w:val="21"/>
          <w:highlight w:val="none"/>
        </w:rPr>
      </w:pPr>
      <w:r>
        <w:rPr>
          <w:rFonts w:ascii="宋体" w:hAnsi="宋体" w:eastAsia="宋体" w:cs="宋体"/>
          <w:sz w:val="21"/>
          <w:szCs w:val="21"/>
          <w:highlight w:val="none"/>
        </w:rPr>
        <w:t>统一社会信用代码：               统一社会信用代码：</w:t>
      </w:r>
    </w:p>
    <w:p w14:paraId="5E914178">
      <w:pPr>
        <w:tabs>
          <w:tab w:val="left" w:pos="630"/>
        </w:tabs>
        <w:adjustRightInd w:val="0"/>
        <w:spacing w:line="360" w:lineRule="auto"/>
        <w:jc w:val="left"/>
        <w:rPr>
          <w:rFonts w:ascii="宋体" w:hAnsi="宋体" w:eastAsia="宋体" w:cs="宋体"/>
          <w:sz w:val="21"/>
          <w:szCs w:val="21"/>
          <w:highlight w:val="none"/>
        </w:rPr>
      </w:pPr>
      <w:r>
        <w:rPr>
          <w:rFonts w:ascii="宋体" w:hAnsi="宋体" w:eastAsia="宋体" w:cs="宋体"/>
          <w:sz w:val="21"/>
          <w:szCs w:val="21"/>
          <w:highlight w:val="none"/>
        </w:rPr>
        <w:t xml:space="preserve">1243000044487661XH               </w:t>
      </w:r>
      <w:r>
        <w:rPr>
          <w:rFonts w:ascii="宋体" w:hAnsi="宋体" w:eastAsia="宋体" w:cs="宋体"/>
          <w:kern w:val="0"/>
          <w:sz w:val="21"/>
          <w:szCs w:val="21"/>
          <w:highlight w:val="none"/>
        </w:rPr>
        <w:t xml:space="preserve"> XX </w:t>
      </w:r>
    </w:p>
    <w:p w14:paraId="0604093E">
      <w:pPr>
        <w:tabs>
          <w:tab w:val="left" w:pos="630"/>
        </w:tabs>
        <w:spacing w:line="360" w:lineRule="auto"/>
        <w:ind w:firstLine="315" w:firstLineChars="150"/>
        <w:rPr>
          <w:rFonts w:ascii="宋体" w:hAnsi="宋体" w:eastAsia="宋体" w:cs="Times New Roman"/>
          <w:sz w:val="21"/>
          <w:szCs w:val="21"/>
          <w:highlight w:val="none"/>
        </w:rPr>
      </w:pPr>
    </w:p>
    <w:p w14:paraId="6B237A39">
      <w:pPr>
        <w:tabs>
          <w:tab w:val="left" w:pos="630"/>
        </w:tabs>
        <w:spacing w:line="360" w:lineRule="auto"/>
        <w:rPr>
          <w:rFonts w:ascii="Times New Roman" w:hAnsi="Times New Roman" w:eastAsia="宋体" w:cs="Times New Roman"/>
          <w:sz w:val="21"/>
          <w:szCs w:val="21"/>
          <w:highlight w:val="none"/>
        </w:rPr>
      </w:pPr>
      <w:r>
        <w:rPr>
          <w:rFonts w:ascii="宋体" w:hAnsi="宋体" w:eastAsia="宋体" w:cs="Times New Roman"/>
          <w:sz w:val="21"/>
          <w:szCs w:val="21"/>
          <w:highlight w:val="none"/>
        </w:rPr>
        <w:t>合同签订日期：2026年</w:t>
      </w:r>
      <w:r>
        <w:rPr>
          <w:rFonts w:ascii="宋体" w:hAnsi="宋体" w:eastAsia="宋体" w:cs="宋体"/>
          <w:sz w:val="21"/>
          <w:szCs w:val="21"/>
          <w:highlight w:val="none"/>
        </w:rPr>
        <w:t xml:space="preserve"> </w:t>
      </w:r>
      <w:r>
        <w:rPr>
          <w:rFonts w:ascii="宋体" w:hAnsi="宋体" w:eastAsia="宋体" w:cs="Times New Roman"/>
          <w:sz w:val="21"/>
          <w:szCs w:val="21"/>
          <w:highlight w:val="none"/>
        </w:rPr>
        <w:t>月</w:t>
      </w:r>
      <w:r>
        <w:rPr>
          <w:rFonts w:ascii="宋体" w:hAnsi="宋体" w:eastAsia="宋体" w:cs="宋体"/>
          <w:sz w:val="21"/>
          <w:szCs w:val="21"/>
          <w:highlight w:val="none"/>
        </w:rPr>
        <w:t xml:space="preserve">  </w:t>
      </w:r>
      <w:r>
        <w:rPr>
          <w:rFonts w:ascii="宋体" w:hAnsi="宋体" w:eastAsia="宋体" w:cs="Times New Roman"/>
          <w:sz w:val="21"/>
          <w:szCs w:val="21"/>
          <w:highlight w:val="none"/>
        </w:rPr>
        <w:t>日</w:t>
      </w:r>
    </w:p>
    <w:p w14:paraId="3C473D24">
      <w:bookmarkStart w:id="3" w:name="_GoBack"/>
      <w:bookmarkEnd w:id="3"/>
    </w:p>
    <w:sectPr>
      <w:footerReference r:id="rId3" w:type="default"/>
      <w:pgSz w:w="11906" w:h="16838"/>
      <w:pgMar w:top="1440" w:right="1134" w:bottom="1440"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4D88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47DEF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47DEF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D7A0B"/>
    <w:multiLevelType w:val="singleLevel"/>
    <w:tmpl w:val="BF2D7A0B"/>
    <w:lvl w:ilvl="0" w:tentative="0">
      <w:start w:val="6"/>
      <w:numFmt w:val="chineseCounting"/>
      <w:suff w:val="nothing"/>
      <w:lvlText w:val="%1、"/>
      <w:lvlJc w:val="left"/>
      <w:rPr>
        <w:rFonts w:hint="eastAsia"/>
      </w:rPr>
    </w:lvl>
  </w:abstractNum>
  <w:abstractNum w:abstractNumId="1">
    <w:nsid w:val="0D7743BF"/>
    <w:multiLevelType w:val="multilevel"/>
    <w:tmpl w:val="0D7743BF"/>
    <w:lvl w:ilvl="0" w:tentative="0">
      <w:start w:val="1"/>
      <w:numFmt w:val="decimal"/>
      <w:suff w:val="nothing"/>
      <w:lvlText w:val="%1、"/>
      <w:lvlJc w:val="left"/>
      <w:pPr>
        <w:ind w:left="842"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D06AF9"/>
    <w:rsid w:val="75AB7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标题 2_0"/>
    <w:next w:val="8"/>
    <w:unhideWhenUsed/>
    <w:qFormat/>
    <w:uiPriority w:val="0"/>
    <w:pPr>
      <w:keepNext/>
      <w:keepLines/>
      <w:widowControl w:val="0"/>
      <w:spacing w:line="360" w:lineRule="auto"/>
      <w:jc w:val="both"/>
      <w:outlineLvl w:val="1"/>
    </w:pPr>
    <w:rPr>
      <w:rFonts w:ascii="Arial" w:hAnsi="Arial" w:eastAsia="宋体" w:cs="Times New Roman"/>
      <w:b/>
      <w:bCs/>
      <w:kern w:val="2"/>
      <w:sz w:val="24"/>
      <w:szCs w:val="32"/>
      <w:lang w:val="en-US" w:eastAsia="zh-CN" w:bidi="ar-SA"/>
    </w:rPr>
  </w:style>
  <w:style w:type="paragraph" w:customStyle="1" w:styleId="8">
    <w:name w:val="正文_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4565</Words>
  <Characters>4638</Characters>
  <Lines>0</Lines>
  <Paragraphs>0</Paragraphs>
  <TotalTime>0</TotalTime>
  <ScaleCrop>false</ScaleCrop>
  <LinksUpToDate>false</LinksUpToDate>
  <CharactersWithSpaces>4789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2026-07-30T12:39:00Z</dcterms:created>
  <dc:creator>hnzt</dc:creator>
  <cp:lastModifiedBy>可乐</cp:lastModifiedBy>
  <dcterms:modified xsi:type="dcterms:W3CDTF">2026-07-30T13:31:18Z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eyJoZGlkIjoiZjcyOTEyNWYwZmY1NWVkNzgxODFmYmNmY2VlMDVhYjUiLCJ1c2VySWQiOiI0MjAyMzYxOTAifQ==</vt:lpwstr>
  </property>
  <property fmtid="{D5CDD505-2E9C-101B-9397-08002B2CF9AE}" pid="4" name="ICV">
    <vt:lpwstr>C099DA8912804DA1AC7A11B413F0A246_12</vt:lpwstr>
  </property>
</Properties>
</file>