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145D2">
      <w:pPr>
        <w:keepNext w:val="0"/>
        <w:keepLines w:val="0"/>
        <w:widowControl/>
        <w:suppressLineNumbers w:val="0"/>
        <w:jc w:val="center"/>
      </w:pPr>
      <w:r>
        <w:rPr>
          <w:rFonts w:ascii="SourceHanSerifCNVF-Medium" w:hAnsi="SourceHanSerifCNVF-Medium" w:eastAsia="SourceHanSerifCNVF-Medium" w:cs="SourceHanSerifCNVF-Medium"/>
          <w:color w:val="000000"/>
          <w:kern w:val="0"/>
          <w:sz w:val="19"/>
          <w:szCs w:val="19"/>
          <w:lang w:val="en-US" w:eastAsia="zh-CN" w:bidi="ar"/>
        </w:rPr>
        <w:t>本国产品证明材料</w:t>
      </w:r>
    </w:p>
    <w:p w14:paraId="1A7AC03D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ourceHanSerifCNVF-Medium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7594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